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213D98" w14:textId="11879785" w:rsidR="00B0133B" w:rsidRPr="00BD00A9" w:rsidRDefault="00E75274" w:rsidP="00E75274">
      <w:pPr>
        <w:pStyle w:val="Pagedecouverture"/>
        <w:rPr>
          <w:noProof/>
          <w:lang w:val="en-GB" w:eastAsia="zh-CN"/>
        </w:rPr>
      </w:pPr>
      <w:bookmarkStart w:id="0" w:name="_Hlk146300620"/>
      <w:bookmarkStart w:id="1" w:name="LW_BM_COVERPAGE"/>
      <w:r>
        <w:rPr>
          <w:noProof/>
          <w:lang w:val="en-GB" w:eastAsia="zh-CN"/>
        </w:rPr>
        <w:pict w14:anchorId="426C3D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alt="9E102A26-2B19-4BF8-85A0-41D9EC7FBEBB" style="width:455.25pt;height:336.75pt">
            <v:imagedata r:id="rId8" o:title=""/>
          </v:shape>
        </w:pict>
      </w:r>
    </w:p>
    <w:bookmarkEnd w:id="1"/>
    <w:p w14:paraId="7851DAA6" w14:textId="18E3B8CF" w:rsidR="00B0133B" w:rsidRPr="00BD00A9" w:rsidRDefault="00B0133B" w:rsidP="00B0133B">
      <w:pPr>
        <w:rPr>
          <w:noProof/>
          <w:lang w:val="en-GB" w:eastAsia="zh-CN"/>
        </w:rPr>
        <w:sectPr w:rsidR="00B0133B" w:rsidRPr="00BD00A9" w:rsidSect="00E75274">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bookmarkStart w:id="2" w:name="_GoBack" w:displacedByCustomXml="next"/>
    <w:bookmarkEnd w:id="2" w:displacedByCustomXml="next"/>
    <w:bookmarkEnd w:id="0" w:displacedByCustomXml="next"/>
    <w:sdt>
      <w:sdtPr>
        <w:rPr>
          <w:rFonts w:asciiTheme="minorHAnsi" w:eastAsiaTheme="minorHAnsi" w:hAnsiTheme="minorHAnsi" w:cstheme="minorBidi"/>
          <w:noProof/>
          <w:color w:val="auto"/>
          <w:sz w:val="22"/>
          <w:szCs w:val="22"/>
        </w:rPr>
        <w:id w:val="-1597090069"/>
        <w:docPartObj>
          <w:docPartGallery w:val="Table of Contents"/>
          <w:docPartUnique/>
        </w:docPartObj>
      </w:sdtPr>
      <w:sdtEndPr>
        <w:rPr>
          <w:b/>
          <w:bCs/>
        </w:rPr>
      </w:sdtEndPr>
      <w:sdtContent>
        <w:p w14:paraId="3D256133" w14:textId="1142F2C0" w:rsidR="00030350" w:rsidRPr="00BD00A9" w:rsidRDefault="00030350">
          <w:pPr>
            <w:pStyle w:val="TOCHeading"/>
            <w:rPr>
              <w:rFonts w:ascii="Times New Roman" w:hAnsi="Times New Roman" w:cs="Times New Roman"/>
              <w:b/>
              <w:bCs/>
              <w:noProof/>
              <w:color w:val="auto"/>
            </w:rPr>
          </w:pPr>
          <w:r w:rsidRPr="00BD00A9">
            <w:rPr>
              <w:rFonts w:ascii="Times New Roman" w:hAnsi="Times New Roman" w:cs="Times New Roman"/>
              <w:b/>
              <w:bCs/>
              <w:noProof/>
              <w:color w:val="auto"/>
            </w:rPr>
            <w:t>Table of Contents</w:t>
          </w:r>
        </w:p>
        <w:p w14:paraId="5715333E" w14:textId="35EE9E53" w:rsidR="002B70D1" w:rsidRDefault="00030350">
          <w:pPr>
            <w:pStyle w:val="TOC1"/>
            <w:rPr>
              <w:rFonts w:asciiTheme="minorHAnsi" w:eastAsiaTheme="minorEastAsia" w:hAnsiTheme="minorHAnsi" w:cstheme="minorBidi"/>
              <w:b w:val="0"/>
              <w:bCs w:val="0"/>
              <w:caps w:val="0"/>
              <w:noProof/>
              <w:sz w:val="22"/>
              <w:szCs w:val="22"/>
              <w:lang w:val="en-IE" w:eastAsia="en-IE"/>
            </w:rPr>
          </w:pPr>
          <w:r w:rsidRPr="00BD00A9">
            <w:rPr>
              <w:noProof/>
            </w:rPr>
            <w:fldChar w:fldCharType="begin"/>
          </w:r>
          <w:r w:rsidRPr="00BD00A9">
            <w:rPr>
              <w:noProof/>
            </w:rPr>
            <w:instrText xml:space="preserve"> TOC \o "1-3" \h \z \u </w:instrText>
          </w:r>
          <w:r w:rsidRPr="00BD00A9">
            <w:rPr>
              <w:noProof/>
            </w:rPr>
            <w:fldChar w:fldCharType="separate"/>
          </w:r>
          <w:hyperlink w:anchor="_Toc152502479" w:history="1">
            <w:r w:rsidR="002B70D1" w:rsidRPr="00D95237">
              <w:rPr>
                <w:rStyle w:val="Hyperlink"/>
                <w:noProof/>
                <w:lang w:val="en-IE"/>
              </w:rPr>
              <w:t>1.</w:t>
            </w:r>
            <w:r w:rsidR="002B70D1">
              <w:rPr>
                <w:rFonts w:asciiTheme="minorHAnsi" w:eastAsiaTheme="minorEastAsia" w:hAnsiTheme="minorHAnsi" w:cstheme="minorBidi"/>
                <w:b w:val="0"/>
                <w:bCs w:val="0"/>
                <w:caps w:val="0"/>
                <w:noProof/>
                <w:sz w:val="22"/>
                <w:szCs w:val="22"/>
                <w:lang w:val="en-IE" w:eastAsia="en-IE"/>
              </w:rPr>
              <w:tab/>
            </w:r>
            <w:r w:rsidR="002B70D1" w:rsidRPr="00D95237">
              <w:rPr>
                <w:rStyle w:val="Hyperlink"/>
                <w:noProof/>
                <w:lang w:val="en-IE"/>
              </w:rPr>
              <w:t>Introduction</w:t>
            </w:r>
            <w:r w:rsidR="002B70D1">
              <w:rPr>
                <w:noProof/>
                <w:webHidden/>
              </w:rPr>
              <w:tab/>
            </w:r>
            <w:r w:rsidR="002B70D1">
              <w:rPr>
                <w:noProof/>
                <w:webHidden/>
              </w:rPr>
              <w:fldChar w:fldCharType="begin"/>
            </w:r>
            <w:r w:rsidR="002B70D1">
              <w:rPr>
                <w:noProof/>
                <w:webHidden/>
              </w:rPr>
              <w:instrText xml:space="preserve"> PAGEREF _Toc152502479 \h </w:instrText>
            </w:r>
            <w:r w:rsidR="002B70D1">
              <w:rPr>
                <w:noProof/>
                <w:webHidden/>
              </w:rPr>
            </w:r>
            <w:r w:rsidR="002B70D1">
              <w:rPr>
                <w:noProof/>
                <w:webHidden/>
              </w:rPr>
              <w:fldChar w:fldCharType="separate"/>
            </w:r>
            <w:r w:rsidR="00DE1A5C">
              <w:rPr>
                <w:noProof/>
                <w:webHidden/>
              </w:rPr>
              <w:t>3</w:t>
            </w:r>
            <w:r w:rsidR="002B70D1">
              <w:rPr>
                <w:noProof/>
                <w:webHidden/>
              </w:rPr>
              <w:fldChar w:fldCharType="end"/>
            </w:r>
          </w:hyperlink>
        </w:p>
        <w:p w14:paraId="635BB972" w14:textId="316AA548" w:rsidR="002B70D1" w:rsidRDefault="00E75274">
          <w:pPr>
            <w:pStyle w:val="TOC1"/>
            <w:rPr>
              <w:rFonts w:asciiTheme="minorHAnsi" w:eastAsiaTheme="minorEastAsia" w:hAnsiTheme="minorHAnsi" w:cstheme="minorBidi"/>
              <w:b w:val="0"/>
              <w:bCs w:val="0"/>
              <w:caps w:val="0"/>
              <w:noProof/>
              <w:sz w:val="22"/>
              <w:szCs w:val="22"/>
              <w:lang w:val="en-IE" w:eastAsia="en-IE"/>
            </w:rPr>
          </w:pPr>
          <w:hyperlink w:anchor="_Toc152502480" w:history="1">
            <w:r w:rsidR="002B70D1" w:rsidRPr="00D95237">
              <w:rPr>
                <w:rStyle w:val="Hyperlink"/>
                <w:noProof/>
              </w:rPr>
              <w:t>2.</w:t>
            </w:r>
            <w:r w:rsidR="002B70D1">
              <w:rPr>
                <w:rFonts w:asciiTheme="minorHAnsi" w:eastAsiaTheme="minorEastAsia" w:hAnsiTheme="minorHAnsi" w:cstheme="minorBidi"/>
                <w:b w:val="0"/>
                <w:bCs w:val="0"/>
                <w:caps w:val="0"/>
                <w:noProof/>
                <w:sz w:val="22"/>
                <w:szCs w:val="22"/>
                <w:lang w:val="en-IE" w:eastAsia="en-IE"/>
              </w:rPr>
              <w:tab/>
            </w:r>
            <w:r w:rsidR="002B70D1" w:rsidRPr="00D95237">
              <w:rPr>
                <w:rStyle w:val="Hyperlink"/>
                <w:noProof/>
              </w:rPr>
              <w:t>Citizenship Package</w:t>
            </w:r>
            <w:r w:rsidR="002B70D1">
              <w:rPr>
                <w:noProof/>
                <w:webHidden/>
              </w:rPr>
              <w:tab/>
            </w:r>
            <w:r w:rsidR="002B70D1">
              <w:rPr>
                <w:noProof/>
                <w:webHidden/>
              </w:rPr>
              <w:fldChar w:fldCharType="begin"/>
            </w:r>
            <w:r w:rsidR="002B70D1">
              <w:rPr>
                <w:noProof/>
                <w:webHidden/>
              </w:rPr>
              <w:instrText xml:space="preserve"> PAGEREF _Toc152502480 \h </w:instrText>
            </w:r>
            <w:r w:rsidR="002B70D1">
              <w:rPr>
                <w:noProof/>
                <w:webHidden/>
              </w:rPr>
            </w:r>
            <w:r w:rsidR="002B70D1">
              <w:rPr>
                <w:noProof/>
                <w:webHidden/>
              </w:rPr>
              <w:fldChar w:fldCharType="separate"/>
            </w:r>
            <w:r w:rsidR="00DE1A5C">
              <w:rPr>
                <w:noProof/>
                <w:webHidden/>
              </w:rPr>
              <w:t>4</w:t>
            </w:r>
            <w:r w:rsidR="002B70D1">
              <w:rPr>
                <w:noProof/>
                <w:webHidden/>
              </w:rPr>
              <w:fldChar w:fldCharType="end"/>
            </w:r>
          </w:hyperlink>
        </w:p>
        <w:p w14:paraId="50E64825" w14:textId="197381B5" w:rsidR="002B70D1" w:rsidRDefault="00E75274">
          <w:pPr>
            <w:pStyle w:val="TOC1"/>
            <w:rPr>
              <w:rFonts w:asciiTheme="minorHAnsi" w:eastAsiaTheme="minorEastAsia" w:hAnsiTheme="minorHAnsi" w:cstheme="minorBidi"/>
              <w:b w:val="0"/>
              <w:bCs w:val="0"/>
              <w:caps w:val="0"/>
              <w:noProof/>
              <w:sz w:val="22"/>
              <w:szCs w:val="22"/>
              <w:lang w:val="en-IE" w:eastAsia="en-IE"/>
            </w:rPr>
          </w:pPr>
          <w:hyperlink w:anchor="_Toc152502481" w:history="1">
            <w:r w:rsidR="002B70D1" w:rsidRPr="00D95237">
              <w:rPr>
                <w:rStyle w:val="Hyperlink"/>
                <w:noProof/>
                <w:lang w:val="en-IE"/>
              </w:rPr>
              <w:t>3.</w:t>
            </w:r>
            <w:r w:rsidR="002B70D1">
              <w:rPr>
                <w:rFonts w:asciiTheme="minorHAnsi" w:eastAsiaTheme="minorEastAsia" w:hAnsiTheme="minorHAnsi" w:cstheme="minorBidi"/>
                <w:b w:val="0"/>
                <w:bCs w:val="0"/>
                <w:caps w:val="0"/>
                <w:noProof/>
                <w:sz w:val="22"/>
                <w:szCs w:val="22"/>
                <w:lang w:val="en-IE" w:eastAsia="en-IE"/>
              </w:rPr>
              <w:tab/>
            </w:r>
            <w:r w:rsidR="002B70D1" w:rsidRPr="00D95237">
              <w:rPr>
                <w:rStyle w:val="Hyperlink"/>
                <w:noProof/>
                <w:lang w:val="en-IE"/>
              </w:rPr>
              <w:t>Citizenship of the Union (Article 20(1) TFEU)</w:t>
            </w:r>
            <w:r w:rsidR="002B70D1">
              <w:rPr>
                <w:noProof/>
                <w:webHidden/>
              </w:rPr>
              <w:tab/>
            </w:r>
            <w:r w:rsidR="002B70D1">
              <w:rPr>
                <w:noProof/>
                <w:webHidden/>
              </w:rPr>
              <w:fldChar w:fldCharType="begin"/>
            </w:r>
            <w:r w:rsidR="002B70D1">
              <w:rPr>
                <w:noProof/>
                <w:webHidden/>
              </w:rPr>
              <w:instrText xml:space="preserve"> PAGEREF _Toc152502481 \h </w:instrText>
            </w:r>
            <w:r w:rsidR="002B70D1">
              <w:rPr>
                <w:noProof/>
                <w:webHidden/>
              </w:rPr>
            </w:r>
            <w:r w:rsidR="002B70D1">
              <w:rPr>
                <w:noProof/>
                <w:webHidden/>
              </w:rPr>
              <w:fldChar w:fldCharType="separate"/>
            </w:r>
            <w:r w:rsidR="00DE1A5C">
              <w:rPr>
                <w:noProof/>
                <w:webHidden/>
              </w:rPr>
              <w:t>6</w:t>
            </w:r>
            <w:r w:rsidR="002B70D1">
              <w:rPr>
                <w:noProof/>
                <w:webHidden/>
              </w:rPr>
              <w:fldChar w:fldCharType="end"/>
            </w:r>
          </w:hyperlink>
        </w:p>
        <w:p w14:paraId="2D6A8557" w14:textId="63D50D35" w:rsidR="002B70D1" w:rsidRDefault="00E75274">
          <w:pPr>
            <w:pStyle w:val="TOC2"/>
            <w:tabs>
              <w:tab w:val="left" w:pos="660"/>
              <w:tab w:val="right" w:pos="9016"/>
            </w:tabs>
            <w:rPr>
              <w:rFonts w:eastAsiaTheme="minorEastAsia" w:cstheme="minorBidi"/>
              <w:b w:val="0"/>
              <w:bCs w:val="0"/>
              <w:noProof/>
              <w:sz w:val="22"/>
              <w:szCs w:val="22"/>
              <w:lang w:val="en-IE" w:eastAsia="en-IE"/>
            </w:rPr>
          </w:pPr>
          <w:hyperlink w:anchor="_Toc152502482" w:history="1">
            <w:r w:rsidR="002B70D1" w:rsidRPr="00D95237">
              <w:rPr>
                <w:rStyle w:val="Hyperlink"/>
                <w:noProof/>
                <w:lang w:val="en-IE"/>
              </w:rPr>
              <w:t>3.1.</w:t>
            </w:r>
            <w:r w:rsidR="002B70D1">
              <w:rPr>
                <w:rFonts w:eastAsiaTheme="minorEastAsia" w:cstheme="minorBidi"/>
                <w:b w:val="0"/>
                <w:bCs w:val="0"/>
                <w:noProof/>
                <w:sz w:val="22"/>
                <w:szCs w:val="22"/>
                <w:lang w:val="en-IE" w:eastAsia="en-IE"/>
              </w:rPr>
              <w:tab/>
            </w:r>
            <w:r w:rsidR="002B70D1" w:rsidRPr="00D95237">
              <w:rPr>
                <w:rStyle w:val="Hyperlink"/>
                <w:noProof/>
                <w:lang w:val="en-IE"/>
              </w:rPr>
              <w:t>Introduction</w:t>
            </w:r>
            <w:r w:rsidR="002B70D1">
              <w:rPr>
                <w:noProof/>
                <w:webHidden/>
              </w:rPr>
              <w:tab/>
            </w:r>
            <w:r w:rsidR="002B70D1">
              <w:rPr>
                <w:noProof/>
                <w:webHidden/>
              </w:rPr>
              <w:fldChar w:fldCharType="begin"/>
            </w:r>
            <w:r w:rsidR="002B70D1">
              <w:rPr>
                <w:noProof/>
                <w:webHidden/>
              </w:rPr>
              <w:instrText xml:space="preserve"> PAGEREF _Toc152502482 \h </w:instrText>
            </w:r>
            <w:r w:rsidR="002B70D1">
              <w:rPr>
                <w:noProof/>
                <w:webHidden/>
              </w:rPr>
            </w:r>
            <w:r w:rsidR="002B70D1">
              <w:rPr>
                <w:noProof/>
                <w:webHidden/>
              </w:rPr>
              <w:fldChar w:fldCharType="separate"/>
            </w:r>
            <w:r w:rsidR="00DE1A5C">
              <w:rPr>
                <w:noProof/>
                <w:webHidden/>
              </w:rPr>
              <w:t>6</w:t>
            </w:r>
            <w:r w:rsidR="002B70D1">
              <w:rPr>
                <w:noProof/>
                <w:webHidden/>
              </w:rPr>
              <w:fldChar w:fldCharType="end"/>
            </w:r>
          </w:hyperlink>
        </w:p>
        <w:p w14:paraId="6A8A2289" w14:textId="68415725" w:rsidR="002B70D1" w:rsidRDefault="00E75274">
          <w:pPr>
            <w:pStyle w:val="TOC2"/>
            <w:tabs>
              <w:tab w:val="left" w:pos="660"/>
              <w:tab w:val="right" w:pos="9016"/>
            </w:tabs>
            <w:rPr>
              <w:rFonts w:eastAsiaTheme="minorEastAsia" w:cstheme="minorBidi"/>
              <w:b w:val="0"/>
              <w:bCs w:val="0"/>
              <w:noProof/>
              <w:sz w:val="22"/>
              <w:szCs w:val="22"/>
              <w:lang w:val="en-IE" w:eastAsia="en-IE"/>
            </w:rPr>
          </w:pPr>
          <w:hyperlink w:anchor="_Toc152502483" w:history="1">
            <w:r w:rsidR="002B70D1" w:rsidRPr="00D95237">
              <w:rPr>
                <w:rStyle w:val="Hyperlink"/>
                <w:noProof/>
                <w:lang w:val="en-IE"/>
              </w:rPr>
              <w:t>3.2.</w:t>
            </w:r>
            <w:r w:rsidR="002B70D1">
              <w:rPr>
                <w:rFonts w:eastAsiaTheme="minorEastAsia" w:cstheme="minorBidi"/>
                <w:b w:val="0"/>
                <w:bCs w:val="0"/>
                <w:noProof/>
                <w:sz w:val="22"/>
                <w:szCs w:val="22"/>
                <w:lang w:val="en-IE" w:eastAsia="en-IE"/>
              </w:rPr>
              <w:tab/>
            </w:r>
            <w:r w:rsidR="002B70D1" w:rsidRPr="00D95237">
              <w:rPr>
                <w:rStyle w:val="Hyperlink"/>
                <w:noProof/>
                <w:lang w:val="en-IE"/>
              </w:rPr>
              <w:t>Policy developments</w:t>
            </w:r>
            <w:r w:rsidR="002B70D1">
              <w:rPr>
                <w:noProof/>
                <w:webHidden/>
              </w:rPr>
              <w:tab/>
            </w:r>
            <w:r w:rsidR="002B70D1">
              <w:rPr>
                <w:noProof/>
                <w:webHidden/>
              </w:rPr>
              <w:fldChar w:fldCharType="begin"/>
            </w:r>
            <w:r w:rsidR="002B70D1">
              <w:rPr>
                <w:noProof/>
                <w:webHidden/>
              </w:rPr>
              <w:instrText xml:space="preserve"> PAGEREF _Toc152502483 \h </w:instrText>
            </w:r>
            <w:r w:rsidR="002B70D1">
              <w:rPr>
                <w:noProof/>
                <w:webHidden/>
              </w:rPr>
            </w:r>
            <w:r w:rsidR="002B70D1">
              <w:rPr>
                <w:noProof/>
                <w:webHidden/>
              </w:rPr>
              <w:fldChar w:fldCharType="separate"/>
            </w:r>
            <w:r w:rsidR="00DE1A5C">
              <w:rPr>
                <w:noProof/>
                <w:webHidden/>
              </w:rPr>
              <w:t>7</w:t>
            </w:r>
            <w:r w:rsidR="002B70D1">
              <w:rPr>
                <w:noProof/>
                <w:webHidden/>
              </w:rPr>
              <w:fldChar w:fldCharType="end"/>
            </w:r>
          </w:hyperlink>
        </w:p>
        <w:p w14:paraId="505BC9FE" w14:textId="32E9DB2B" w:rsidR="002B70D1" w:rsidRDefault="00E75274">
          <w:pPr>
            <w:pStyle w:val="TOC3"/>
            <w:tabs>
              <w:tab w:val="left" w:pos="1100"/>
              <w:tab w:val="right" w:pos="9016"/>
            </w:tabs>
            <w:rPr>
              <w:rFonts w:eastAsiaTheme="minorEastAsia" w:cstheme="minorBidi"/>
              <w:noProof/>
              <w:sz w:val="22"/>
              <w:szCs w:val="22"/>
              <w:lang w:val="en-IE" w:eastAsia="en-IE"/>
            </w:rPr>
          </w:pPr>
          <w:hyperlink w:anchor="_Toc152502484" w:history="1">
            <w:r w:rsidR="002B70D1" w:rsidRPr="00D95237">
              <w:rPr>
                <w:rStyle w:val="Hyperlink"/>
                <w:noProof/>
                <w:lang w:val="en-IE"/>
              </w:rPr>
              <w:t>3.2.1.</w:t>
            </w:r>
            <w:r w:rsidR="002B70D1">
              <w:rPr>
                <w:rFonts w:eastAsiaTheme="minorEastAsia" w:cstheme="minorBidi"/>
                <w:noProof/>
                <w:sz w:val="22"/>
                <w:szCs w:val="22"/>
                <w:lang w:val="en-IE" w:eastAsia="en-IE"/>
              </w:rPr>
              <w:tab/>
            </w:r>
            <w:r w:rsidR="002B70D1" w:rsidRPr="00D95237">
              <w:rPr>
                <w:rStyle w:val="Hyperlink"/>
                <w:noProof/>
                <w:lang w:val="en-IE"/>
              </w:rPr>
              <w:t>Enhancing EU citizenship rights</w:t>
            </w:r>
            <w:r w:rsidR="002B70D1">
              <w:rPr>
                <w:noProof/>
                <w:webHidden/>
              </w:rPr>
              <w:tab/>
            </w:r>
            <w:r w:rsidR="002B70D1">
              <w:rPr>
                <w:noProof/>
                <w:webHidden/>
              </w:rPr>
              <w:fldChar w:fldCharType="begin"/>
            </w:r>
            <w:r w:rsidR="002B70D1">
              <w:rPr>
                <w:noProof/>
                <w:webHidden/>
              </w:rPr>
              <w:instrText xml:space="preserve"> PAGEREF _Toc152502484 \h </w:instrText>
            </w:r>
            <w:r w:rsidR="002B70D1">
              <w:rPr>
                <w:noProof/>
                <w:webHidden/>
              </w:rPr>
            </w:r>
            <w:r w:rsidR="002B70D1">
              <w:rPr>
                <w:noProof/>
                <w:webHidden/>
              </w:rPr>
              <w:fldChar w:fldCharType="separate"/>
            </w:r>
            <w:r w:rsidR="00DE1A5C">
              <w:rPr>
                <w:noProof/>
                <w:webHidden/>
              </w:rPr>
              <w:t>7</w:t>
            </w:r>
            <w:r w:rsidR="002B70D1">
              <w:rPr>
                <w:noProof/>
                <w:webHidden/>
              </w:rPr>
              <w:fldChar w:fldCharType="end"/>
            </w:r>
          </w:hyperlink>
        </w:p>
        <w:p w14:paraId="6C610883" w14:textId="4F672264" w:rsidR="002B70D1" w:rsidRDefault="00E75274">
          <w:pPr>
            <w:pStyle w:val="TOC3"/>
            <w:tabs>
              <w:tab w:val="left" w:pos="1100"/>
              <w:tab w:val="right" w:pos="9016"/>
            </w:tabs>
            <w:rPr>
              <w:rFonts w:eastAsiaTheme="minorEastAsia" w:cstheme="minorBidi"/>
              <w:noProof/>
              <w:sz w:val="22"/>
              <w:szCs w:val="22"/>
              <w:lang w:val="en-IE" w:eastAsia="en-IE"/>
            </w:rPr>
          </w:pPr>
          <w:hyperlink w:anchor="_Toc152502485" w:history="1">
            <w:r w:rsidR="002B70D1" w:rsidRPr="00D95237">
              <w:rPr>
                <w:rStyle w:val="Hyperlink"/>
                <w:noProof/>
                <w:lang w:val="en-IE"/>
              </w:rPr>
              <w:t>3.2.2.</w:t>
            </w:r>
            <w:r w:rsidR="002B70D1">
              <w:rPr>
                <w:rFonts w:eastAsiaTheme="minorEastAsia" w:cstheme="minorBidi"/>
                <w:noProof/>
                <w:sz w:val="22"/>
                <w:szCs w:val="22"/>
                <w:lang w:val="en-IE" w:eastAsia="en-IE"/>
              </w:rPr>
              <w:tab/>
            </w:r>
            <w:r w:rsidR="002B70D1" w:rsidRPr="00D95237">
              <w:rPr>
                <w:rStyle w:val="Hyperlink"/>
                <w:noProof/>
                <w:lang w:val="en-IE"/>
              </w:rPr>
              <w:t>Investor citizenship schemes</w:t>
            </w:r>
            <w:r w:rsidR="002B70D1">
              <w:rPr>
                <w:noProof/>
                <w:webHidden/>
              </w:rPr>
              <w:tab/>
            </w:r>
            <w:r w:rsidR="002B70D1">
              <w:rPr>
                <w:noProof/>
                <w:webHidden/>
              </w:rPr>
              <w:fldChar w:fldCharType="begin"/>
            </w:r>
            <w:r w:rsidR="002B70D1">
              <w:rPr>
                <w:noProof/>
                <w:webHidden/>
              </w:rPr>
              <w:instrText xml:space="preserve"> PAGEREF _Toc152502485 \h </w:instrText>
            </w:r>
            <w:r w:rsidR="002B70D1">
              <w:rPr>
                <w:noProof/>
                <w:webHidden/>
              </w:rPr>
            </w:r>
            <w:r w:rsidR="002B70D1">
              <w:rPr>
                <w:noProof/>
                <w:webHidden/>
              </w:rPr>
              <w:fldChar w:fldCharType="separate"/>
            </w:r>
            <w:r w:rsidR="00DE1A5C">
              <w:rPr>
                <w:noProof/>
                <w:webHidden/>
              </w:rPr>
              <w:t>9</w:t>
            </w:r>
            <w:r w:rsidR="002B70D1">
              <w:rPr>
                <w:noProof/>
                <w:webHidden/>
              </w:rPr>
              <w:fldChar w:fldCharType="end"/>
            </w:r>
          </w:hyperlink>
        </w:p>
        <w:p w14:paraId="6190715D" w14:textId="6E80C4E1" w:rsidR="002B70D1" w:rsidRDefault="00E75274">
          <w:pPr>
            <w:pStyle w:val="TOC2"/>
            <w:tabs>
              <w:tab w:val="left" w:pos="660"/>
              <w:tab w:val="right" w:pos="9016"/>
            </w:tabs>
            <w:rPr>
              <w:rFonts w:eastAsiaTheme="minorEastAsia" w:cstheme="minorBidi"/>
              <w:b w:val="0"/>
              <w:bCs w:val="0"/>
              <w:noProof/>
              <w:sz w:val="22"/>
              <w:szCs w:val="22"/>
              <w:lang w:val="en-IE" w:eastAsia="en-IE"/>
            </w:rPr>
          </w:pPr>
          <w:hyperlink w:anchor="_Toc152502486" w:history="1">
            <w:r w:rsidR="002B70D1" w:rsidRPr="00D95237">
              <w:rPr>
                <w:rStyle w:val="Hyperlink"/>
                <w:noProof/>
              </w:rPr>
              <w:t>3.3.</w:t>
            </w:r>
            <w:r w:rsidR="002B70D1">
              <w:rPr>
                <w:rFonts w:eastAsiaTheme="minorEastAsia" w:cstheme="minorBidi"/>
                <w:b w:val="0"/>
                <w:bCs w:val="0"/>
                <w:noProof/>
                <w:sz w:val="22"/>
                <w:szCs w:val="22"/>
                <w:lang w:val="en-IE" w:eastAsia="en-IE"/>
              </w:rPr>
              <w:tab/>
            </w:r>
            <w:r w:rsidR="002B70D1" w:rsidRPr="00D95237">
              <w:rPr>
                <w:rStyle w:val="Hyperlink"/>
                <w:noProof/>
              </w:rPr>
              <w:t>Case law developments</w:t>
            </w:r>
            <w:r w:rsidR="002B70D1">
              <w:rPr>
                <w:noProof/>
                <w:webHidden/>
              </w:rPr>
              <w:tab/>
            </w:r>
            <w:r w:rsidR="002B70D1">
              <w:rPr>
                <w:noProof/>
                <w:webHidden/>
              </w:rPr>
              <w:fldChar w:fldCharType="begin"/>
            </w:r>
            <w:r w:rsidR="002B70D1">
              <w:rPr>
                <w:noProof/>
                <w:webHidden/>
              </w:rPr>
              <w:instrText xml:space="preserve"> PAGEREF _Toc152502486 \h </w:instrText>
            </w:r>
            <w:r w:rsidR="002B70D1">
              <w:rPr>
                <w:noProof/>
                <w:webHidden/>
              </w:rPr>
            </w:r>
            <w:r w:rsidR="002B70D1">
              <w:rPr>
                <w:noProof/>
                <w:webHidden/>
              </w:rPr>
              <w:fldChar w:fldCharType="separate"/>
            </w:r>
            <w:r w:rsidR="00DE1A5C">
              <w:rPr>
                <w:noProof/>
                <w:webHidden/>
              </w:rPr>
              <w:t>10</w:t>
            </w:r>
            <w:r w:rsidR="002B70D1">
              <w:rPr>
                <w:noProof/>
                <w:webHidden/>
              </w:rPr>
              <w:fldChar w:fldCharType="end"/>
            </w:r>
          </w:hyperlink>
        </w:p>
        <w:p w14:paraId="7D59ECA6" w14:textId="77D128F0" w:rsidR="002B70D1" w:rsidRDefault="00E75274">
          <w:pPr>
            <w:pStyle w:val="TOC1"/>
            <w:rPr>
              <w:rFonts w:asciiTheme="minorHAnsi" w:eastAsiaTheme="minorEastAsia" w:hAnsiTheme="minorHAnsi" w:cstheme="minorBidi"/>
              <w:b w:val="0"/>
              <w:bCs w:val="0"/>
              <w:caps w:val="0"/>
              <w:noProof/>
              <w:sz w:val="22"/>
              <w:szCs w:val="22"/>
              <w:lang w:val="en-IE" w:eastAsia="en-IE"/>
            </w:rPr>
          </w:pPr>
          <w:hyperlink w:anchor="_Toc152502487" w:history="1">
            <w:r w:rsidR="002B70D1" w:rsidRPr="00D95237">
              <w:rPr>
                <w:rStyle w:val="Hyperlink"/>
                <w:noProof/>
                <w:lang w:val="en-IE"/>
              </w:rPr>
              <w:t>4.</w:t>
            </w:r>
            <w:r w:rsidR="002B70D1">
              <w:rPr>
                <w:rFonts w:asciiTheme="minorHAnsi" w:eastAsiaTheme="minorEastAsia" w:hAnsiTheme="minorHAnsi" w:cstheme="minorBidi"/>
                <w:b w:val="0"/>
                <w:bCs w:val="0"/>
                <w:caps w:val="0"/>
                <w:noProof/>
                <w:sz w:val="22"/>
                <w:szCs w:val="22"/>
                <w:lang w:val="en-IE" w:eastAsia="en-IE"/>
              </w:rPr>
              <w:tab/>
            </w:r>
            <w:r w:rsidR="002B70D1" w:rsidRPr="00D95237">
              <w:rPr>
                <w:rStyle w:val="Hyperlink"/>
                <w:noProof/>
                <w:lang w:val="en-IE"/>
              </w:rPr>
              <w:t>Non-discrimination on grounds of nationality (Article 18 TFEU)</w:t>
            </w:r>
            <w:r w:rsidR="002B70D1">
              <w:rPr>
                <w:noProof/>
                <w:webHidden/>
              </w:rPr>
              <w:tab/>
            </w:r>
            <w:r w:rsidR="002B70D1">
              <w:rPr>
                <w:noProof/>
                <w:webHidden/>
              </w:rPr>
              <w:fldChar w:fldCharType="begin"/>
            </w:r>
            <w:r w:rsidR="002B70D1">
              <w:rPr>
                <w:noProof/>
                <w:webHidden/>
              </w:rPr>
              <w:instrText xml:space="preserve"> PAGEREF _Toc152502487 \h </w:instrText>
            </w:r>
            <w:r w:rsidR="002B70D1">
              <w:rPr>
                <w:noProof/>
                <w:webHidden/>
              </w:rPr>
            </w:r>
            <w:r w:rsidR="002B70D1">
              <w:rPr>
                <w:noProof/>
                <w:webHidden/>
              </w:rPr>
              <w:fldChar w:fldCharType="separate"/>
            </w:r>
            <w:r w:rsidR="00DE1A5C">
              <w:rPr>
                <w:noProof/>
                <w:webHidden/>
              </w:rPr>
              <w:t>11</w:t>
            </w:r>
            <w:r w:rsidR="002B70D1">
              <w:rPr>
                <w:noProof/>
                <w:webHidden/>
              </w:rPr>
              <w:fldChar w:fldCharType="end"/>
            </w:r>
          </w:hyperlink>
        </w:p>
        <w:p w14:paraId="7DD8A3C6" w14:textId="1247FF6E" w:rsidR="002B70D1" w:rsidRDefault="00E75274">
          <w:pPr>
            <w:pStyle w:val="TOC2"/>
            <w:tabs>
              <w:tab w:val="left" w:pos="660"/>
              <w:tab w:val="right" w:pos="9016"/>
            </w:tabs>
            <w:rPr>
              <w:rFonts w:eastAsiaTheme="minorEastAsia" w:cstheme="minorBidi"/>
              <w:b w:val="0"/>
              <w:bCs w:val="0"/>
              <w:noProof/>
              <w:sz w:val="22"/>
              <w:szCs w:val="22"/>
              <w:lang w:val="en-IE" w:eastAsia="en-IE"/>
            </w:rPr>
          </w:pPr>
          <w:hyperlink w:anchor="_Toc152502488" w:history="1">
            <w:r w:rsidR="002B70D1" w:rsidRPr="00D95237">
              <w:rPr>
                <w:rStyle w:val="Hyperlink"/>
                <w:noProof/>
              </w:rPr>
              <w:t>4.1.</w:t>
            </w:r>
            <w:r w:rsidR="002B70D1">
              <w:rPr>
                <w:rFonts w:eastAsiaTheme="minorEastAsia" w:cstheme="minorBidi"/>
                <w:b w:val="0"/>
                <w:bCs w:val="0"/>
                <w:noProof/>
                <w:sz w:val="22"/>
                <w:szCs w:val="22"/>
                <w:lang w:val="en-IE" w:eastAsia="en-IE"/>
              </w:rPr>
              <w:tab/>
            </w:r>
            <w:r w:rsidR="002B70D1" w:rsidRPr="00D95237">
              <w:rPr>
                <w:rStyle w:val="Hyperlink"/>
                <w:noProof/>
              </w:rPr>
              <w:t>Introduction</w:t>
            </w:r>
            <w:r w:rsidR="002B70D1">
              <w:rPr>
                <w:noProof/>
                <w:webHidden/>
              </w:rPr>
              <w:tab/>
            </w:r>
            <w:r w:rsidR="002B70D1">
              <w:rPr>
                <w:noProof/>
                <w:webHidden/>
              </w:rPr>
              <w:fldChar w:fldCharType="begin"/>
            </w:r>
            <w:r w:rsidR="002B70D1">
              <w:rPr>
                <w:noProof/>
                <w:webHidden/>
              </w:rPr>
              <w:instrText xml:space="preserve"> PAGEREF _Toc152502488 \h </w:instrText>
            </w:r>
            <w:r w:rsidR="002B70D1">
              <w:rPr>
                <w:noProof/>
                <w:webHidden/>
              </w:rPr>
            </w:r>
            <w:r w:rsidR="002B70D1">
              <w:rPr>
                <w:noProof/>
                <w:webHidden/>
              </w:rPr>
              <w:fldChar w:fldCharType="separate"/>
            </w:r>
            <w:r w:rsidR="00DE1A5C">
              <w:rPr>
                <w:noProof/>
                <w:webHidden/>
              </w:rPr>
              <w:t>11</w:t>
            </w:r>
            <w:r w:rsidR="002B70D1">
              <w:rPr>
                <w:noProof/>
                <w:webHidden/>
              </w:rPr>
              <w:fldChar w:fldCharType="end"/>
            </w:r>
          </w:hyperlink>
        </w:p>
        <w:p w14:paraId="7B0FCC5A" w14:textId="0FA95FC3" w:rsidR="002B70D1" w:rsidRDefault="00E75274">
          <w:pPr>
            <w:pStyle w:val="TOC2"/>
            <w:tabs>
              <w:tab w:val="left" w:pos="660"/>
              <w:tab w:val="right" w:pos="9016"/>
            </w:tabs>
            <w:rPr>
              <w:rFonts w:eastAsiaTheme="minorEastAsia" w:cstheme="minorBidi"/>
              <w:b w:val="0"/>
              <w:bCs w:val="0"/>
              <w:noProof/>
              <w:sz w:val="22"/>
              <w:szCs w:val="22"/>
              <w:lang w:val="en-IE" w:eastAsia="en-IE"/>
            </w:rPr>
          </w:pPr>
          <w:hyperlink w:anchor="_Toc152502489" w:history="1">
            <w:r w:rsidR="002B70D1" w:rsidRPr="00D95237">
              <w:rPr>
                <w:rStyle w:val="Hyperlink"/>
                <w:noProof/>
              </w:rPr>
              <w:t>4.2.</w:t>
            </w:r>
            <w:r w:rsidR="002B70D1">
              <w:rPr>
                <w:rFonts w:eastAsiaTheme="minorEastAsia" w:cstheme="minorBidi"/>
                <w:b w:val="0"/>
                <w:bCs w:val="0"/>
                <w:noProof/>
                <w:sz w:val="22"/>
                <w:szCs w:val="22"/>
                <w:lang w:val="en-IE" w:eastAsia="en-IE"/>
              </w:rPr>
              <w:tab/>
            </w:r>
            <w:r w:rsidR="002B70D1" w:rsidRPr="00D95237">
              <w:rPr>
                <w:rStyle w:val="Hyperlink"/>
                <w:noProof/>
              </w:rPr>
              <w:t>Case law developments</w:t>
            </w:r>
            <w:r w:rsidR="002B70D1">
              <w:rPr>
                <w:noProof/>
                <w:webHidden/>
              </w:rPr>
              <w:tab/>
            </w:r>
            <w:r w:rsidR="002B70D1">
              <w:rPr>
                <w:noProof/>
                <w:webHidden/>
              </w:rPr>
              <w:fldChar w:fldCharType="begin"/>
            </w:r>
            <w:r w:rsidR="002B70D1">
              <w:rPr>
                <w:noProof/>
                <w:webHidden/>
              </w:rPr>
              <w:instrText xml:space="preserve"> PAGEREF _Toc152502489 \h </w:instrText>
            </w:r>
            <w:r w:rsidR="002B70D1">
              <w:rPr>
                <w:noProof/>
                <w:webHidden/>
              </w:rPr>
            </w:r>
            <w:r w:rsidR="002B70D1">
              <w:rPr>
                <w:noProof/>
                <w:webHidden/>
              </w:rPr>
              <w:fldChar w:fldCharType="separate"/>
            </w:r>
            <w:r w:rsidR="00DE1A5C">
              <w:rPr>
                <w:noProof/>
                <w:webHidden/>
              </w:rPr>
              <w:t>11</w:t>
            </w:r>
            <w:r w:rsidR="002B70D1">
              <w:rPr>
                <w:noProof/>
                <w:webHidden/>
              </w:rPr>
              <w:fldChar w:fldCharType="end"/>
            </w:r>
          </w:hyperlink>
        </w:p>
        <w:p w14:paraId="281F886A" w14:textId="6DDE610A" w:rsidR="002B70D1" w:rsidRDefault="00E75274">
          <w:pPr>
            <w:pStyle w:val="TOC1"/>
            <w:rPr>
              <w:rFonts w:asciiTheme="minorHAnsi" w:eastAsiaTheme="minorEastAsia" w:hAnsiTheme="minorHAnsi" w:cstheme="minorBidi"/>
              <w:b w:val="0"/>
              <w:bCs w:val="0"/>
              <w:caps w:val="0"/>
              <w:noProof/>
              <w:sz w:val="22"/>
              <w:szCs w:val="22"/>
              <w:lang w:val="en-IE" w:eastAsia="en-IE"/>
            </w:rPr>
          </w:pPr>
          <w:hyperlink w:anchor="_Toc152502490" w:history="1">
            <w:r w:rsidR="002B70D1" w:rsidRPr="00D95237">
              <w:rPr>
                <w:rStyle w:val="Hyperlink"/>
                <w:noProof/>
              </w:rPr>
              <w:t>5.</w:t>
            </w:r>
            <w:r w:rsidR="002B70D1">
              <w:rPr>
                <w:rFonts w:asciiTheme="minorHAnsi" w:eastAsiaTheme="minorEastAsia" w:hAnsiTheme="minorHAnsi" w:cstheme="minorBidi"/>
                <w:b w:val="0"/>
                <w:bCs w:val="0"/>
                <w:caps w:val="0"/>
                <w:noProof/>
                <w:sz w:val="22"/>
                <w:szCs w:val="22"/>
                <w:lang w:val="en-IE" w:eastAsia="en-IE"/>
              </w:rPr>
              <w:tab/>
            </w:r>
            <w:r w:rsidR="002B70D1" w:rsidRPr="00D95237">
              <w:rPr>
                <w:rStyle w:val="Hyperlink"/>
                <w:noProof/>
              </w:rPr>
              <w:t>Combating discrimination on the basis of sex, racial or ethnic origin, religion or belief, disability, age or sexual orientation (Article 19 TFEU)</w:t>
            </w:r>
            <w:r w:rsidR="002B70D1">
              <w:rPr>
                <w:noProof/>
                <w:webHidden/>
              </w:rPr>
              <w:tab/>
            </w:r>
            <w:r w:rsidR="002B70D1">
              <w:rPr>
                <w:noProof/>
                <w:webHidden/>
              </w:rPr>
              <w:fldChar w:fldCharType="begin"/>
            </w:r>
            <w:r w:rsidR="002B70D1">
              <w:rPr>
                <w:noProof/>
                <w:webHidden/>
              </w:rPr>
              <w:instrText xml:space="preserve"> PAGEREF _Toc152502490 \h </w:instrText>
            </w:r>
            <w:r w:rsidR="002B70D1">
              <w:rPr>
                <w:noProof/>
                <w:webHidden/>
              </w:rPr>
            </w:r>
            <w:r w:rsidR="002B70D1">
              <w:rPr>
                <w:noProof/>
                <w:webHidden/>
              </w:rPr>
              <w:fldChar w:fldCharType="separate"/>
            </w:r>
            <w:r w:rsidR="00DE1A5C">
              <w:rPr>
                <w:noProof/>
                <w:webHidden/>
              </w:rPr>
              <w:t>12</w:t>
            </w:r>
            <w:r w:rsidR="002B70D1">
              <w:rPr>
                <w:noProof/>
                <w:webHidden/>
              </w:rPr>
              <w:fldChar w:fldCharType="end"/>
            </w:r>
          </w:hyperlink>
        </w:p>
        <w:p w14:paraId="5CC11DC0" w14:textId="63E74D7E" w:rsidR="002B70D1" w:rsidRDefault="00E75274">
          <w:pPr>
            <w:pStyle w:val="TOC2"/>
            <w:tabs>
              <w:tab w:val="left" w:pos="660"/>
              <w:tab w:val="right" w:pos="9016"/>
            </w:tabs>
            <w:rPr>
              <w:rFonts w:eastAsiaTheme="minorEastAsia" w:cstheme="minorBidi"/>
              <w:b w:val="0"/>
              <w:bCs w:val="0"/>
              <w:noProof/>
              <w:sz w:val="22"/>
              <w:szCs w:val="22"/>
              <w:lang w:val="en-IE" w:eastAsia="en-IE"/>
            </w:rPr>
          </w:pPr>
          <w:hyperlink w:anchor="_Toc152502491" w:history="1">
            <w:r w:rsidR="002B70D1" w:rsidRPr="00D95237">
              <w:rPr>
                <w:rStyle w:val="Hyperlink"/>
                <w:noProof/>
              </w:rPr>
              <w:t>5.1.</w:t>
            </w:r>
            <w:r w:rsidR="002B70D1">
              <w:rPr>
                <w:rFonts w:eastAsiaTheme="minorEastAsia" w:cstheme="minorBidi"/>
                <w:b w:val="0"/>
                <w:bCs w:val="0"/>
                <w:noProof/>
                <w:sz w:val="22"/>
                <w:szCs w:val="22"/>
                <w:lang w:val="en-IE" w:eastAsia="en-IE"/>
              </w:rPr>
              <w:tab/>
            </w:r>
            <w:r w:rsidR="002B70D1" w:rsidRPr="00D95237">
              <w:rPr>
                <w:rStyle w:val="Hyperlink"/>
                <w:noProof/>
              </w:rPr>
              <w:t>Introduction and policy developments</w:t>
            </w:r>
            <w:r w:rsidR="002B70D1">
              <w:rPr>
                <w:noProof/>
                <w:webHidden/>
              </w:rPr>
              <w:tab/>
            </w:r>
            <w:r w:rsidR="002B70D1">
              <w:rPr>
                <w:noProof/>
                <w:webHidden/>
              </w:rPr>
              <w:fldChar w:fldCharType="begin"/>
            </w:r>
            <w:r w:rsidR="002B70D1">
              <w:rPr>
                <w:noProof/>
                <w:webHidden/>
              </w:rPr>
              <w:instrText xml:space="preserve"> PAGEREF _Toc152502491 \h </w:instrText>
            </w:r>
            <w:r w:rsidR="002B70D1">
              <w:rPr>
                <w:noProof/>
                <w:webHidden/>
              </w:rPr>
            </w:r>
            <w:r w:rsidR="002B70D1">
              <w:rPr>
                <w:noProof/>
                <w:webHidden/>
              </w:rPr>
              <w:fldChar w:fldCharType="separate"/>
            </w:r>
            <w:r w:rsidR="00DE1A5C">
              <w:rPr>
                <w:noProof/>
                <w:webHidden/>
              </w:rPr>
              <w:t>12</w:t>
            </w:r>
            <w:r w:rsidR="002B70D1">
              <w:rPr>
                <w:noProof/>
                <w:webHidden/>
              </w:rPr>
              <w:fldChar w:fldCharType="end"/>
            </w:r>
          </w:hyperlink>
        </w:p>
        <w:p w14:paraId="779F4762" w14:textId="5368D6A1" w:rsidR="002B70D1" w:rsidRDefault="00E75274">
          <w:pPr>
            <w:pStyle w:val="TOC2"/>
            <w:tabs>
              <w:tab w:val="left" w:pos="660"/>
              <w:tab w:val="right" w:pos="9016"/>
            </w:tabs>
            <w:rPr>
              <w:rFonts w:eastAsiaTheme="minorEastAsia" w:cstheme="minorBidi"/>
              <w:b w:val="0"/>
              <w:bCs w:val="0"/>
              <w:noProof/>
              <w:sz w:val="22"/>
              <w:szCs w:val="22"/>
              <w:lang w:val="en-IE" w:eastAsia="en-IE"/>
            </w:rPr>
          </w:pPr>
          <w:hyperlink w:anchor="_Toc152502492" w:history="1">
            <w:r w:rsidR="002B70D1" w:rsidRPr="00D95237">
              <w:rPr>
                <w:rStyle w:val="Hyperlink"/>
                <w:noProof/>
              </w:rPr>
              <w:t>5.2.</w:t>
            </w:r>
            <w:r w:rsidR="002B70D1">
              <w:rPr>
                <w:rFonts w:eastAsiaTheme="minorEastAsia" w:cstheme="minorBidi"/>
                <w:b w:val="0"/>
                <w:bCs w:val="0"/>
                <w:noProof/>
                <w:sz w:val="22"/>
                <w:szCs w:val="22"/>
                <w:lang w:val="en-IE" w:eastAsia="en-IE"/>
              </w:rPr>
              <w:tab/>
            </w:r>
            <w:r w:rsidR="002B70D1" w:rsidRPr="00D95237">
              <w:rPr>
                <w:rStyle w:val="Hyperlink"/>
                <w:noProof/>
              </w:rPr>
              <w:t>Case law developments</w:t>
            </w:r>
            <w:r w:rsidR="002B70D1">
              <w:rPr>
                <w:noProof/>
                <w:webHidden/>
              </w:rPr>
              <w:tab/>
            </w:r>
            <w:r w:rsidR="002B70D1">
              <w:rPr>
                <w:noProof/>
                <w:webHidden/>
              </w:rPr>
              <w:fldChar w:fldCharType="begin"/>
            </w:r>
            <w:r w:rsidR="002B70D1">
              <w:rPr>
                <w:noProof/>
                <w:webHidden/>
              </w:rPr>
              <w:instrText xml:space="preserve"> PAGEREF _Toc152502492 \h </w:instrText>
            </w:r>
            <w:r w:rsidR="002B70D1">
              <w:rPr>
                <w:noProof/>
                <w:webHidden/>
              </w:rPr>
            </w:r>
            <w:r w:rsidR="002B70D1">
              <w:rPr>
                <w:noProof/>
                <w:webHidden/>
              </w:rPr>
              <w:fldChar w:fldCharType="separate"/>
            </w:r>
            <w:r w:rsidR="00DE1A5C">
              <w:rPr>
                <w:noProof/>
                <w:webHidden/>
              </w:rPr>
              <w:t>18</w:t>
            </w:r>
            <w:r w:rsidR="002B70D1">
              <w:rPr>
                <w:noProof/>
                <w:webHidden/>
              </w:rPr>
              <w:fldChar w:fldCharType="end"/>
            </w:r>
          </w:hyperlink>
        </w:p>
        <w:p w14:paraId="34826560" w14:textId="01992433" w:rsidR="002B70D1" w:rsidRDefault="00E75274">
          <w:pPr>
            <w:pStyle w:val="TOC1"/>
            <w:rPr>
              <w:rFonts w:asciiTheme="minorHAnsi" w:eastAsiaTheme="minorEastAsia" w:hAnsiTheme="minorHAnsi" w:cstheme="minorBidi"/>
              <w:b w:val="0"/>
              <w:bCs w:val="0"/>
              <w:caps w:val="0"/>
              <w:noProof/>
              <w:sz w:val="22"/>
              <w:szCs w:val="22"/>
              <w:lang w:val="en-IE" w:eastAsia="en-IE"/>
            </w:rPr>
          </w:pPr>
          <w:hyperlink w:anchor="_Toc152502493" w:history="1">
            <w:r w:rsidR="002B70D1" w:rsidRPr="00D95237">
              <w:rPr>
                <w:rStyle w:val="Hyperlink"/>
                <w:noProof/>
              </w:rPr>
              <w:t>6.</w:t>
            </w:r>
            <w:r w:rsidR="002B70D1">
              <w:rPr>
                <w:rFonts w:asciiTheme="minorHAnsi" w:eastAsiaTheme="minorEastAsia" w:hAnsiTheme="minorHAnsi" w:cstheme="minorBidi"/>
                <w:b w:val="0"/>
                <w:bCs w:val="0"/>
                <w:caps w:val="0"/>
                <w:noProof/>
                <w:sz w:val="22"/>
                <w:szCs w:val="22"/>
                <w:lang w:val="en-IE" w:eastAsia="en-IE"/>
              </w:rPr>
              <w:tab/>
            </w:r>
            <w:r w:rsidR="002B70D1" w:rsidRPr="00D95237">
              <w:rPr>
                <w:rStyle w:val="Hyperlink"/>
                <w:noProof/>
              </w:rPr>
              <w:t>Right to move and reside freely in the territory of the Member States (Articles 20(2) and 21 TFEU)</w:t>
            </w:r>
            <w:r w:rsidR="002B70D1">
              <w:rPr>
                <w:noProof/>
                <w:webHidden/>
              </w:rPr>
              <w:tab/>
            </w:r>
            <w:r w:rsidR="002B70D1">
              <w:rPr>
                <w:noProof/>
                <w:webHidden/>
              </w:rPr>
              <w:fldChar w:fldCharType="begin"/>
            </w:r>
            <w:r w:rsidR="002B70D1">
              <w:rPr>
                <w:noProof/>
                <w:webHidden/>
              </w:rPr>
              <w:instrText xml:space="preserve"> PAGEREF _Toc152502493 \h </w:instrText>
            </w:r>
            <w:r w:rsidR="002B70D1">
              <w:rPr>
                <w:noProof/>
                <w:webHidden/>
              </w:rPr>
            </w:r>
            <w:r w:rsidR="002B70D1">
              <w:rPr>
                <w:noProof/>
                <w:webHidden/>
              </w:rPr>
              <w:fldChar w:fldCharType="separate"/>
            </w:r>
            <w:r w:rsidR="00DE1A5C">
              <w:rPr>
                <w:noProof/>
                <w:webHidden/>
              </w:rPr>
              <w:t>19</w:t>
            </w:r>
            <w:r w:rsidR="002B70D1">
              <w:rPr>
                <w:noProof/>
                <w:webHidden/>
              </w:rPr>
              <w:fldChar w:fldCharType="end"/>
            </w:r>
          </w:hyperlink>
        </w:p>
        <w:p w14:paraId="0977E793" w14:textId="25299ED4" w:rsidR="002B70D1" w:rsidRDefault="00E75274">
          <w:pPr>
            <w:pStyle w:val="TOC2"/>
            <w:tabs>
              <w:tab w:val="left" w:pos="660"/>
              <w:tab w:val="right" w:pos="9016"/>
            </w:tabs>
            <w:rPr>
              <w:rFonts w:eastAsiaTheme="minorEastAsia" w:cstheme="minorBidi"/>
              <w:b w:val="0"/>
              <w:bCs w:val="0"/>
              <w:noProof/>
              <w:sz w:val="22"/>
              <w:szCs w:val="22"/>
              <w:lang w:val="en-IE" w:eastAsia="en-IE"/>
            </w:rPr>
          </w:pPr>
          <w:hyperlink w:anchor="_Toc152502494" w:history="1">
            <w:r w:rsidR="002B70D1" w:rsidRPr="00D95237">
              <w:rPr>
                <w:rStyle w:val="Hyperlink"/>
                <w:noProof/>
              </w:rPr>
              <w:t>6.1.</w:t>
            </w:r>
            <w:r w:rsidR="002B70D1">
              <w:rPr>
                <w:rFonts w:eastAsiaTheme="minorEastAsia" w:cstheme="minorBidi"/>
                <w:b w:val="0"/>
                <w:bCs w:val="0"/>
                <w:noProof/>
                <w:sz w:val="22"/>
                <w:szCs w:val="22"/>
                <w:lang w:val="en-IE" w:eastAsia="en-IE"/>
              </w:rPr>
              <w:tab/>
            </w:r>
            <w:r w:rsidR="002B70D1" w:rsidRPr="00D95237">
              <w:rPr>
                <w:rStyle w:val="Hyperlink"/>
                <w:noProof/>
              </w:rPr>
              <w:t>Introduction</w:t>
            </w:r>
            <w:r w:rsidR="002B70D1">
              <w:rPr>
                <w:noProof/>
                <w:webHidden/>
              </w:rPr>
              <w:tab/>
            </w:r>
            <w:r w:rsidR="002B70D1">
              <w:rPr>
                <w:noProof/>
                <w:webHidden/>
              </w:rPr>
              <w:fldChar w:fldCharType="begin"/>
            </w:r>
            <w:r w:rsidR="002B70D1">
              <w:rPr>
                <w:noProof/>
                <w:webHidden/>
              </w:rPr>
              <w:instrText xml:space="preserve"> PAGEREF _Toc152502494 \h </w:instrText>
            </w:r>
            <w:r w:rsidR="002B70D1">
              <w:rPr>
                <w:noProof/>
                <w:webHidden/>
              </w:rPr>
            </w:r>
            <w:r w:rsidR="002B70D1">
              <w:rPr>
                <w:noProof/>
                <w:webHidden/>
              </w:rPr>
              <w:fldChar w:fldCharType="separate"/>
            </w:r>
            <w:r w:rsidR="00DE1A5C">
              <w:rPr>
                <w:noProof/>
                <w:webHidden/>
              </w:rPr>
              <w:t>19</w:t>
            </w:r>
            <w:r w:rsidR="002B70D1">
              <w:rPr>
                <w:noProof/>
                <w:webHidden/>
              </w:rPr>
              <w:fldChar w:fldCharType="end"/>
            </w:r>
          </w:hyperlink>
        </w:p>
        <w:p w14:paraId="57FBA1C2" w14:textId="61472CF5" w:rsidR="002B70D1" w:rsidRDefault="00E75274">
          <w:pPr>
            <w:pStyle w:val="TOC2"/>
            <w:tabs>
              <w:tab w:val="left" w:pos="660"/>
              <w:tab w:val="right" w:pos="9016"/>
            </w:tabs>
            <w:rPr>
              <w:rFonts w:eastAsiaTheme="minorEastAsia" w:cstheme="minorBidi"/>
              <w:b w:val="0"/>
              <w:bCs w:val="0"/>
              <w:noProof/>
              <w:sz w:val="22"/>
              <w:szCs w:val="22"/>
              <w:lang w:val="en-IE" w:eastAsia="en-IE"/>
            </w:rPr>
          </w:pPr>
          <w:hyperlink w:anchor="_Toc152502495" w:history="1">
            <w:r w:rsidR="002B70D1" w:rsidRPr="00D95237">
              <w:rPr>
                <w:rStyle w:val="Hyperlink"/>
                <w:noProof/>
              </w:rPr>
              <w:t>6.2.</w:t>
            </w:r>
            <w:r w:rsidR="002B70D1">
              <w:rPr>
                <w:rFonts w:eastAsiaTheme="minorEastAsia" w:cstheme="minorBidi"/>
                <w:b w:val="0"/>
                <w:bCs w:val="0"/>
                <w:noProof/>
                <w:sz w:val="22"/>
                <w:szCs w:val="22"/>
                <w:lang w:val="en-IE" w:eastAsia="en-IE"/>
              </w:rPr>
              <w:tab/>
            </w:r>
            <w:r w:rsidR="002B70D1" w:rsidRPr="00D95237">
              <w:rPr>
                <w:rStyle w:val="Hyperlink"/>
                <w:noProof/>
              </w:rPr>
              <w:t>Policy developments</w:t>
            </w:r>
            <w:r w:rsidR="002B70D1">
              <w:rPr>
                <w:noProof/>
                <w:webHidden/>
              </w:rPr>
              <w:tab/>
            </w:r>
            <w:r w:rsidR="002B70D1">
              <w:rPr>
                <w:noProof/>
                <w:webHidden/>
              </w:rPr>
              <w:fldChar w:fldCharType="begin"/>
            </w:r>
            <w:r w:rsidR="002B70D1">
              <w:rPr>
                <w:noProof/>
                <w:webHidden/>
              </w:rPr>
              <w:instrText xml:space="preserve"> PAGEREF _Toc152502495 \h </w:instrText>
            </w:r>
            <w:r w:rsidR="002B70D1">
              <w:rPr>
                <w:noProof/>
                <w:webHidden/>
              </w:rPr>
            </w:r>
            <w:r w:rsidR="002B70D1">
              <w:rPr>
                <w:noProof/>
                <w:webHidden/>
              </w:rPr>
              <w:fldChar w:fldCharType="separate"/>
            </w:r>
            <w:r w:rsidR="00DE1A5C">
              <w:rPr>
                <w:noProof/>
                <w:webHidden/>
              </w:rPr>
              <w:t>20</w:t>
            </w:r>
            <w:r w:rsidR="002B70D1">
              <w:rPr>
                <w:noProof/>
                <w:webHidden/>
              </w:rPr>
              <w:fldChar w:fldCharType="end"/>
            </w:r>
          </w:hyperlink>
        </w:p>
        <w:p w14:paraId="6B796185" w14:textId="181FC9D1" w:rsidR="002B70D1" w:rsidRDefault="00E75274">
          <w:pPr>
            <w:pStyle w:val="TOC3"/>
            <w:tabs>
              <w:tab w:val="left" w:pos="1100"/>
              <w:tab w:val="right" w:pos="9016"/>
            </w:tabs>
            <w:rPr>
              <w:rFonts w:eastAsiaTheme="minorEastAsia" w:cstheme="minorBidi"/>
              <w:noProof/>
              <w:sz w:val="22"/>
              <w:szCs w:val="22"/>
              <w:lang w:val="en-IE" w:eastAsia="en-IE"/>
            </w:rPr>
          </w:pPr>
          <w:hyperlink w:anchor="_Toc152502496" w:history="1">
            <w:r w:rsidR="002B70D1" w:rsidRPr="00D95237">
              <w:rPr>
                <w:rStyle w:val="Hyperlink"/>
                <w:noProof/>
              </w:rPr>
              <w:t>6.2.1.</w:t>
            </w:r>
            <w:r w:rsidR="002B70D1">
              <w:rPr>
                <w:rFonts w:eastAsiaTheme="minorEastAsia" w:cstheme="minorBidi"/>
                <w:noProof/>
                <w:sz w:val="22"/>
                <w:szCs w:val="22"/>
                <w:lang w:val="en-IE" w:eastAsia="en-IE"/>
              </w:rPr>
              <w:tab/>
            </w:r>
            <w:r w:rsidR="002B70D1" w:rsidRPr="00D95237">
              <w:rPr>
                <w:rStyle w:val="Hyperlink"/>
                <w:noProof/>
              </w:rPr>
              <w:t>Facilitating free movement</w:t>
            </w:r>
            <w:r w:rsidR="002B70D1">
              <w:rPr>
                <w:noProof/>
                <w:webHidden/>
              </w:rPr>
              <w:tab/>
            </w:r>
            <w:r w:rsidR="002B70D1">
              <w:rPr>
                <w:noProof/>
                <w:webHidden/>
              </w:rPr>
              <w:fldChar w:fldCharType="begin"/>
            </w:r>
            <w:r w:rsidR="002B70D1">
              <w:rPr>
                <w:noProof/>
                <w:webHidden/>
              </w:rPr>
              <w:instrText xml:space="preserve"> PAGEREF _Toc152502496 \h </w:instrText>
            </w:r>
            <w:r w:rsidR="002B70D1">
              <w:rPr>
                <w:noProof/>
                <w:webHidden/>
              </w:rPr>
            </w:r>
            <w:r w:rsidR="002B70D1">
              <w:rPr>
                <w:noProof/>
                <w:webHidden/>
              </w:rPr>
              <w:fldChar w:fldCharType="separate"/>
            </w:r>
            <w:r w:rsidR="00DE1A5C">
              <w:rPr>
                <w:noProof/>
                <w:webHidden/>
              </w:rPr>
              <w:t>20</w:t>
            </w:r>
            <w:r w:rsidR="002B70D1">
              <w:rPr>
                <w:noProof/>
                <w:webHidden/>
              </w:rPr>
              <w:fldChar w:fldCharType="end"/>
            </w:r>
          </w:hyperlink>
        </w:p>
        <w:p w14:paraId="2A9F278D" w14:textId="62827678" w:rsidR="002B70D1" w:rsidRDefault="00E75274">
          <w:pPr>
            <w:pStyle w:val="TOC3"/>
            <w:tabs>
              <w:tab w:val="left" w:pos="1100"/>
              <w:tab w:val="right" w:pos="9016"/>
            </w:tabs>
            <w:rPr>
              <w:rFonts w:eastAsiaTheme="minorEastAsia" w:cstheme="minorBidi"/>
              <w:noProof/>
              <w:sz w:val="22"/>
              <w:szCs w:val="22"/>
              <w:lang w:val="en-IE" w:eastAsia="en-IE"/>
            </w:rPr>
          </w:pPr>
          <w:hyperlink w:anchor="_Toc152502497" w:history="1">
            <w:r w:rsidR="002B70D1" w:rsidRPr="00D95237">
              <w:rPr>
                <w:rStyle w:val="Hyperlink"/>
                <w:noProof/>
              </w:rPr>
              <w:t>6.2.2.</w:t>
            </w:r>
            <w:r w:rsidR="002B70D1">
              <w:rPr>
                <w:rFonts w:eastAsiaTheme="minorEastAsia" w:cstheme="minorBidi"/>
                <w:noProof/>
                <w:sz w:val="22"/>
                <w:szCs w:val="22"/>
                <w:lang w:val="en-IE" w:eastAsia="en-IE"/>
              </w:rPr>
              <w:tab/>
            </w:r>
            <w:r w:rsidR="002B70D1" w:rsidRPr="00D95237">
              <w:rPr>
                <w:rStyle w:val="Hyperlink"/>
                <w:noProof/>
              </w:rPr>
              <w:t>Developments on identity cards and residence documents</w:t>
            </w:r>
            <w:r w:rsidR="002B70D1">
              <w:rPr>
                <w:noProof/>
                <w:webHidden/>
              </w:rPr>
              <w:tab/>
            </w:r>
            <w:r w:rsidR="002B70D1">
              <w:rPr>
                <w:noProof/>
                <w:webHidden/>
              </w:rPr>
              <w:fldChar w:fldCharType="begin"/>
            </w:r>
            <w:r w:rsidR="002B70D1">
              <w:rPr>
                <w:noProof/>
                <w:webHidden/>
              </w:rPr>
              <w:instrText xml:space="preserve"> PAGEREF _Toc152502497 \h </w:instrText>
            </w:r>
            <w:r w:rsidR="002B70D1">
              <w:rPr>
                <w:noProof/>
                <w:webHidden/>
              </w:rPr>
            </w:r>
            <w:r w:rsidR="002B70D1">
              <w:rPr>
                <w:noProof/>
                <w:webHidden/>
              </w:rPr>
              <w:fldChar w:fldCharType="separate"/>
            </w:r>
            <w:r w:rsidR="00DE1A5C">
              <w:rPr>
                <w:noProof/>
                <w:webHidden/>
              </w:rPr>
              <w:t>22</w:t>
            </w:r>
            <w:r w:rsidR="002B70D1">
              <w:rPr>
                <w:noProof/>
                <w:webHidden/>
              </w:rPr>
              <w:fldChar w:fldCharType="end"/>
            </w:r>
          </w:hyperlink>
        </w:p>
        <w:p w14:paraId="36BD05FE" w14:textId="40C2A9B9" w:rsidR="002B70D1" w:rsidRDefault="00E75274">
          <w:pPr>
            <w:pStyle w:val="TOC3"/>
            <w:tabs>
              <w:tab w:val="left" w:pos="1100"/>
              <w:tab w:val="right" w:pos="9016"/>
            </w:tabs>
            <w:rPr>
              <w:rFonts w:eastAsiaTheme="minorEastAsia" w:cstheme="minorBidi"/>
              <w:noProof/>
              <w:sz w:val="22"/>
              <w:szCs w:val="22"/>
              <w:lang w:val="en-IE" w:eastAsia="en-IE"/>
            </w:rPr>
          </w:pPr>
          <w:hyperlink w:anchor="_Toc152502498" w:history="1">
            <w:r w:rsidR="002B70D1" w:rsidRPr="00D95237">
              <w:rPr>
                <w:rStyle w:val="Hyperlink"/>
                <w:noProof/>
              </w:rPr>
              <w:t>6.2.3.</w:t>
            </w:r>
            <w:r w:rsidR="002B70D1">
              <w:rPr>
                <w:rFonts w:eastAsiaTheme="minorEastAsia" w:cstheme="minorBidi"/>
                <w:noProof/>
                <w:sz w:val="22"/>
                <w:szCs w:val="22"/>
                <w:lang w:val="en-IE" w:eastAsia="en-IE"/>
              </w:rPr>
              <w:tab/>
            </w:r>
            <w:r w:rsidR="002B70D1" w:rsidRPr="00D95237">
              <w:rPr>
                <w:rStyle w:val="Hyperlink"/>
                <w:noProof/>
              </w:rPr>
              <w:t>Free movement during the COVID-19 pandemic</w:t>
            </w:r>
            <w:r w:rsidR="002B70D1">
              <w:rPr>
                <w:noProof/>
                <w:webHidden/>
              </w:rPr>
              <w:tab/>
            </w:r>
            <w:r w:rsidR="002B70D1">
              <w:rPr>
                <w:noProof/>
                <w:webHidden/>
              </w:rPr>
              <w:fldChar w:fldCharType="begin"/>
            </w:r>
            <w:r w:rsidR="002B70D1">
              <w:rPr>
                <w:noProof/>
                <w:webHidden/>
              </w:rPr>
              <w:instrText xml:space="preserve"> PAGEREF _Toc152502498 \h </w:instrText>
            </w:r>
            <w:r w:rsidR="002B70D1">
              <w:rPr>
                <w:noProof/>
                <w:webHidden/>
              </w:rPr>
            </w:r>
            <w:r w:rsidR="002B70D1">
              <w:rPr>
                <w:noProof/>
                <w:webHidden/>
              </w:rPr>
              <w:fldChar w:fldCharType="separate"/>
            </w:r>
            <w:r w:rsidR="00DE1A5C">
              <w:rPr>
                <w:noProof/>
                <w:webHidden/>
              </w:rPr>
              <w:t>24</w:t>
            </w:r>
            <w:r w:rsidR="002B70D1">
              <w:rPr>
                <w:noProof/>
                <w:webHidden/>
              </w:rPr>
              <w:fldChar w:fldCharType="end"/>
            </w:r>
          </w:hyperlink>
        </w:p>
        <w:p w14:paraId="0C9BBCD7" w14:textId="2592D206" w:rsidR="002B70D1" w:rsidRDefault="00E75274">
          <w:pPr>
            <w:pStyle w:val="TOC2"/>
            <w:tabs>
              <w:tab w:val="left" w:pos="660"/>
              <w:tab w:val="right" w:pos="9016"/>
            </w:tabs>
            <w:rPr>
              <w:rFonts w:eastAsiaTheme="minorEastAsia" w:cstheme="minorBidi"/>
              <w:b w:val="0"/>
              <w:bCs w:val="0"/>
              <w:noProof/>
              <w:sz w:val="22"/>
              <w:szCs w:val="22"/>
              <w:lang w:val="en-IE" w:eastAsia="en-IE"/>
            </w:rPr>
          </w:pPr>
          <w:hyperlink w:anchor="_Toc152502499" w:history="1">
            <w:r w:rsidR="002B70D1" w:rsidRPr="00D95237">
              <w:rPr>
                <w:rStyle w:val="Hyperlink"/>
                <w:noProof/>
              </w:rPr>
              <w:t>6.3.</w:t>
            </w:r>
            <w:r w:rsidR="002B70D1">
              <w:rPr>
                <w:rFonts w:eastAsiaTheme="minorEastAsia" w:cstheme="minorBidi"/>
                <w:b w:val="0"/>
                <w:bCs w:val="0"/>
                <w:noProof/>
                <w:sz w:val="22"/>
                <w:szCs w:val="22"/>
                <w:lang w:val="en-IE" w:eastAsia="en-IE"/>
              </w:rPr>
              <w:tab/>
            </w:r>
            <w:r w:rsidR="002B70D1" w:rsidRPr="00D95237">
              <w:rPr>
                <w:rStyle w:val="Hyperlink"/>
                <w:noProof/>
              </w:rPr>
              <w:t>Case law developments</w:t>
            </w:r>
            <w:r w:rsidR="002B70D1">
              <w:rPr>
                <w:noProof/>
                <w:webHidden/>
              </w:rPr>
              <w:tab/>
            </w:r>
            <w:r w:rsidR="002B70D1">
              <w:rPr>
                <w:noProof/>
                <w:webHidden/>
              </w:rPr>
              <w:fldChar w:fldCharType="begin"/>
            </w:r>
            <w:r w:rsidR="002B70D1">
              <w:rPr>
                <w:noProof/>
                <w:webHidden/>
              </w:rPr>
              <w:instrText xml:space="preserve"> PAGEREF _Toc152502499 \h </w:instrText>
            </w:r>
            <w:r w:rsidR="002B70D1">
              <w:rPr>
                <w:noProof/>
                <w:webHidden/>
              </w:rPr>
            </w:r>
            <w:r w:rsidR="002B70D1">
              <w:rPr>
                <w:noProof/>
                <w:webHidden/>
              </w:rPr>
              <w:fldChar w:fldCharType="separate"/>
            </w:r>
            <w:r w:rsidR="00DE1A5C">
              <w:rPr>
                <w:noProof/>
                <w:webHidden/>
              </w:rPr>
              <w:t>26</w:t>
            </w:r>
            <w:r w:rsidR="002B70D1">
              <w:rPr>
                <w:noProof/>
                <w:webHidden/>
              </w:rPr>
              <w:fldChar w:fldCharType="end"/>
            </w:r>
          </w:hyperlink>
        </w:p>
        <w:p w14:paraId="4DA8363B" w14:textId="0AE62A20" w:rsidR="002B70D1" w:rsidRDefault="00E75274">
          <w:pPr>
            <w:pStyle w:val="TOC1"/>
            <w:rPr>
              <w:rFonts w:asciiTheme="minorHAnsi" w:eastAsiaTheme="minorEastAsia" w:hAnsiTheme="minorHAnsi" w:cstheme="minorBidi"/>
              <w:b w:val="0"/>
              <w:bCs w:val="0"/>
              <w:caps w:val="0"/>
              <w:noProof/>
              <w:sz w:val="22"/>
              <w:szCs w:val="22"/>
              <w:lang w:val="en-IE" w:eastAsia="en-IE"/>
            </w:rPr>
          </w:pPr>
          <w:hyperlink w:anchor="_Toc152502500" w:history="1">
            <w:r w:rsidR="002B70D1" w:rsidRPr="00D95237">
              <w:rPr>
                <w:rStyle w:val="Hyperlink"/>
                <w:noProof/>
              </w:rPr>
              <w:t>7.</w:t>
            </w:r>
            <w:r w:rsidR="002B70D1">
              <w:rPr>
                <w:rFonts w:asciiTheme="minorHAnsi" w:eastAsiaTheme="minorEastAsia" w:hAnsiTheme="minorHAnsi" w:cstheme="minorBidi"/>
                <w:b w:val="0"/>
                <w:bCs w:val="0"/>
                <w:caps w:val="0"/>
                <w:noProof/>
                <w:sz w:val="22"/>
                <w:szCs w:val="22"/>
                <w:lang w:val="en-IE" w:eastAsia="en-IE"/>
              </w:rPr>
              <w:tab/>
            </w:r>
            <w:r w:rsidR="002B70D1" w:rsidRPr="00D95237">
              <w:rPr>
                <w:rStyle w:val="Hyperlink"/>
                <w:noProof/>
              </w:rPr>
              <w:t>Right to vote and stand as a candidate in municipal elections and elections to the European Parliament (Articles 20(2)(b) and 22 TFEU)</w:t>
            </w:r>
            <w:r w:rsidR="002B70D1">
              <w:rPr>
                <w:noProof/>
                <w:webHidden/>
              </w:rPr>
              <w:tab/>
            </w:r>
            <w:r w:rsidR="002B70D1">
              <w:rPr>
                <w:noProof/>
                <w:webHidden/>
              </w:rPr>
              <w:fldChar w:fldCharType="begin"/>
            </w:r>
            <w:r w:rsidR="002B70D1">
              <w:rPr>
                <w:noProof/>
                <w:webHidden/>
              </w:rPr>
              <w:instrText xml:space="preserve"> PAGEREF _Toc152502500 \h </w:instrText>
            </w:r>
            <w:r w:rsidR="002B70D1">
              <w:rPr>
                <w:noProof/>
                <w:webHidden/>
              </w:rPr>
            </w:r>
            <w:r w:rsidR="002B70D1">
              <w:rPr>
                <w:noProof/>
                <w:webHidden/>
              </w:rPr>
              <w:fldChar w:fldCharType="separate"/>
            </w:r>
            <w:r w:rsidR="00DE1A5C">
              <w:rPr>
                <w:noProof/>
                <w:webHidden/>
              </w:rPr>
              <w:t>27</w:t>
            </w:r>
            <w:r w:rsidR="002B70D1">
              <w:rPr>
                <w:noProof/>
                <w:webHidden/>
              </w:rPr>
              <w:fldChar w:fldCharType="end"/>
            </w:r>
          </w:hyperlink>
        </w:p>
        <w:p w14:paraId="49356321" w14:textId="59C58236" w:rsidR="002B70D1" w:rsidRDefault="00E75274">
          <w:pPr>
            <w:pStyle w:val="TOC2"/>
            <w:tabs>
              <w:tab w:val="left" w:pos="660"/>
              <w:tab w:val="right" w:pos="9016"/>
            </w:tabs>
            <w:rPr>
              <w:rFonts w:eastAsiaTheme="minorEastAsia" w:cstheme="minorBidi"/>
              <w:b w:val="0"/>
              <w:bCs w:val="0"/>
              <w:noProof/>
              <w:sz w:val="22"/>
              <w:szCs w:val="22"/>
              <w:lang w:val="en-IE" w:eastAsia="en-IE"/>
            </w:rPr>
          </w:pPr>
          <w:hyperlink w:anchor="_Toc152502501" w:history="1">
            <w:r w:rsidR="002B70D1" w:rsidRPr="00D95237">
              <w:rPr>
                <w:rStyle w:val="Hyperlink"/>
                <w:noProof/>
              </w:rPr>
              <w:t>7.1.</w:t>
            </w:r>
            <w:r w:rsidR="002B70D1">
              <w:rPr>
                <w:rFonts w:eastAsiaTheme="minorEastAsia" w:cstheme="minorBidi"/>
                <w:b w:val="0"/>
                <w:bCs w:val="0"/>
                <w:noProof/>
                <w:sz w:val="22"/>
                <w:szCs w:val="22"/>
                <w:lang w:val="en-IE" w:eastAsia="en-IE"/>
              </w:rPr>
              <w:tab/>
            </w:r>
            <w:r w:rsidR="002B70D1" w:rsidRPr="00D95237">
              <w:rPr>
                <w:rStyle w:val="Hyperlink"/>
                <w:noProof/>
              </w:rPr>
              <w:t>Introduction</w:t>
            </w:r>
            <w:r w:rsidR="002B70D1">
              <w:rPr>
                <w:noProof/>
                <w:webHidden/>
              </w:rPr>
              <w:tab/>
            </w:r>
            <w:r w:rsidR="002B70D1">
              <w:rPr>
                <w:noProof/>
                <w:webHidden/>
              </w:rPr>
              <w:fldChar w:fldCharType="begin"/>
            </w:r>
            <w:r w:rsidR="002B70D1">
              <w:rPr>
                <w:noProof/>
                <w:webHidden/>
              </w:rPr>
              <w:instrText xml:space="preserve"> PAGEREF _Toc152502501 \h </w:instrText>
            </w:r>
            <w:r w:rsidR="002B70D1">
              <w:rPr>
                <w:noProof/>
                <w:webHidden/>
              </w:rPr>
            </w:r>
            <w:r w:rsidR="002B70D1">
              <w:rPr>
                <w:noProof/>
                <w:webHidden/>
              </w:rPr>
              <w:fldChar w:fldCharType="separate"/>
            </w:r>
            <w:r w:rsidR="00DE1A5C">
              <w:rPr>
                <w:noProof/>
                <w:webHidden/>
              </w:rPr>
              <w:t>27</w:t>
            </w:r>
            <w:r w:rsidR="002B70D1">
              <w:rPr>
                <w:noProof/>
                <w:webHidden/>
              </w:rPr>
              <w:fldChar w:fldCharType="end"/>
            </w:r>
          </w:hyperlink>
        </w:p>
        <w:p w14:paraId="2028BFD5" w14:textId="5C8F2B01" w:rsidR="002B70D1" w:rsidRDefault="00E75274">
          <w:pPr>
            <w:pStyle w:val="TOC2"/>
            <w:tabs>
              <w:tab w:val="left" w:pos="660"/>
              <w:tab w:val="right" w:pos="9016"/>
            </w:tabs>
            <w:rPr>
              <w:rFonts w:eastAsiaTheme="minorEastAsia" w:cstheme="minorBidi"/>
              <w:b w:val="0"/>
              <w:bCs w:val="0"/>
              <w:noProof/>
              <w:sz w:val="22"/>
              <w:szCs w:val="22"/>
              <w:lang w:val="en-IE" w:eastAsia="en-IE"/>
            </w:rPr>
          </w:pPr>
          <w:hyperlink w:anchor="_Toc152502502" w:history="1">
            <w:r w:rsidR="002B70D1" w:rsidRPr="00D95237">
              <w:rPr>
                <w:rStyle w:val="Hyperlink"/>
                <w:noProof/>
              </w:rPr>
              <w:t>7.2.</w:t>
            </w:r>
            <w:r w:rsidR="002B70D1">
              <w:rPr>
                <w:rFonts w:eastAsiaTheme="minorEastAsia" w:cstheme="minorBidi"/>
                <w:b w:val="0"/>
                <w:bCs w:val="0"/>
                <w:noProof/>
                <w:sz w:val="22"/>
                <w:szCs w:val="22"/>
                <w:lang w:val="en-IE" w:eastAsia="en-IE"/>
              </w:rPr>
              <w:tab/>
            </w:r>
            <w:r w:rsidR="002B70D1" w:rsidRPr="00D95237">
              <w:rPr>
                <w:rStyle w:val="Hyperlink"/>
                <w:noProof/>
              </w:rPr>
              <w:t>Policy developments</w:t>
            </w:r>
            <w:r w:rsidR="002B70D1">
              <w:rPr>
                <w:noProof/>
                <w:webHidden/>
              </w:rPr>
              <w:tab/>
            </w:r>
            <w:r w:rsidR="002B70D1">
              <w:rPr>
                <w:noProof/>
                <w:webHidden/>
              </w:rPr>
              <w:fldChar w:fldCharType="begin"/>
            </w:r>
            <w:r w:rsidR="002B70D1">
              <w:rPr>
                <w:noProof/>
                <w:webHidden/>
              </w:rPr>
              <w:instrText xml:space="preserve"> PAGEREF _Toc152502502 \h </w:instrText>
            </w:r>
            <w:r w:rsidR="002B70D1">
              <w:rPr>
                <w:noProof/>
                <w:webHidden/>
              </w:rPr>
            </w:r>
            <w:r w:rsidR="002B70D1">
              <w:rPr>
                <w:noProof/>
                <w:webHidden/>
              </w:rPr>
              <w:fldChar w:fldCharType="separate"/>
            </w:r>
            <w:r w:rsidR="00DE1A5C">
              <w:rPr>
                <w:noProof/>
                <w:webHidden/>
              </w:rPr>
              <w:t>27</w:t>
            </w:r>
            <w:r w:rsidR="002B70D1">
              <w:rPr>
                <w:noProof/>
                <w:webHidden/>
              </w:rPr>
              <w:fldChar w:fldCharType="end"/>
            </w:r>
          </w:hyperlink>
        </w:p>
        <w:p w14:paraId="565415DC" w14:textId="54A15546" w:rsidR="002B70D1" w:rsidRDefault="00E75274">
          <w:pPr>
            <w:pStyle w:val="TOC3"/>
            <w:tabs>
              <w:tab w:val="left" w:pos="1100"/>
              <w:tab w:val="right" w:pos="9016"/>
            </w:tabs>
            <w:rPr>
              <w:rFonts w:eastAsiaTheme="minorEastAsia" w:cstheme="minorBidi"/>
              <w:noProof/>
              <w:sz w:val="22"/>
              <w:szCs w:val="22"/>
              <w:lang w:val="en-IE" w:eastAsia="en-IE"/>
            </w:rPr>
          </w:pPr>
          <w:hyperlink w:anchor="_Toc152502503" w:history="1">
            <w:r w:rsidR="002B70D1" w:rsidRPr="00D95237">
              <w:rPr>
                <w:rStyle w:val="Hyperlink"/>
                <w:noProof/>
              </w:rPr>
              <w:t>7.2.1.</w:t>
            </w:r>
            <w:r w:rsidR="002B70D1">
              <w:rPr>
                <w:rFonts w:eastAsiaTheme="minorEastAsia" w:cstheme="minorBidi"/>
                <w:noProof/>
                <w:sz w:val="22"/>
                <w:szCs w:val="22"/>
                <w:lang w:val="en-IE" w:eastAsia="en-IE"/>
              </w:rPr>
              <w:tab/>
            </w:r>
            <w:r w:rsidR="002B70D1" w:rsidRPr="00D95237">
              <w:rPr>
                <w:rStyle w:val="Hyperlink"/>
                <w:noProof/>
              </w:rPr>
              <w:t>Right to vote and stand as a candidate in municipal and elections to the European Parliament</w:t>
            </w:r>
            <w:r w:rsidR="002B70D1">
              <w:rPr>
                <w:noProof/>
                <w:webHidden/>
              </w:rPr>
              <w:tab/>
            </w:r>
            <w:r w:rsidR="002B70D1">
              <w:rPr>
                <w:noProof/>
                <w:webHidden/>
              </w:rPr>
              <w:fldChar w:fldCharType="begin"/>
            </w:r>
            <w:r w:rsidR="002B70D1">
              <w:rPr>
                <w:noProof/>
                <w:webHidden/>
              </w:rPr>
              <w:instrText xml:space="preserve"> PAGEREF _Toc152502503 \h </w:instrText>
            </w:r>
            <w:r w:rsidR="002B70D1">
              <w:rPr>
                <w:noProof/>
                <w:webHidden/>
              </w:rPr>
            </w:r>
            <w:r w:rsidR="002B70D1">
              <w:rPr>
                <w:noProof/>
                <w:webHidden/>
              </w:rPr>
              <w:fldChar w:fldCharType="separate"/>
            </w:r>
            <w:r w:rsidR="00DE1A5C">
              <w:rPr>
                <w:noProof/>
                <w:webHidden/>
              </w:rPr>
              <w:t>27</w:t>
            </w:r>
            <w:r w:rsidR="002B70D1">
              <w:rPr>
                <w:noProof/>
                <w:webHidden/>
              </w:rPr>
              <w:fldChar w:fldCharType="end"/>
            </w:r>
          </w:hyperlink>
        </w:p>
        <w:p w14:paraId="72D77DB3" w14:textId="621F49CA" w:rsidR="002B70D1" w:rsidRDefault="00E75274">
          <w:pPr>
            <w:pStyle w:val="TOC3"/>
            <w:tabs>
              <w:tab w:val="left" w:pos="1100"/>
              <w:tab w:val="right" w:pos="9016"/>
            </w:tabs>
            <w:rPr>
              <w:rFonts w:eastAsiaTheme="minorEastAsia" w:cstheme="minorBidi"/>
              <w:noProof/>
              <w:sz w:val="22"/>
              <w:szCs w:val="22"/>
              <w:lang w:val="en-IE" w:eastAsia="en-IE"/>
            </w:rPr>
          </w:pPr>
          <w:hyperlink w:anchor="_Toc152502504" w:history="1">
            <w:r w:rsidR="002B70D1" w:rsidRPr="00D95237">
              <w:rPr>
                <w:rStyle w:val="Hyperlink"/>
                <w:noProof/>
              </w:rPr>
              <w:t>7.2.2.</w:t>
            </w:r>
            <w:r w:rsidR="002B70D1">
              <w:rPr>
                <w:rFonts w:eastAsiaTheme="minorEastAsia" w:cstheme="minorBidi"/>
                <w:noProof/>
                <w:sz w:val="22"/>
                <w:szCs w:val="22"/>
                <w:lang w:val="en-IE" w:eastAsia="en-IE"/>
              </w:rPr>
              <w:tab/>
            </w:r>
            <w:r w:rsidR="002B70D1" w:rsidRPr="00D95237">
              <w:rPr>
                <w:rStyle w:val="Hyperlink"/>
                <w:noProof/>
              </w:rPr>
              <w:t>Empowering democratic participation</w:t>
            </w:r>
            <w:r w:rsidR="002B70D1">
              <w:rPr>
                <w:noProof/>
                <w:webHidden/>
              </w:rPr>
              <w:tab/>
            </w:r>
            <w:r w:rsidR="002B70D1">
              <w:rPr>
                <w:noProof/>
                <w:webHidden/>
              </w:rPr>
              <w:fldChar w:fldCharType="begin"/>
            </w:r>
            <w:r w:rsidR="002B70D1">
              <w:rPr>
                <w:noProof/>
                <w:webHidden/>
              </w:rPr>
              <w:instrText xml:space="preserve"> PAGEREF _Toc152502504 \h </w:instrText>
            </w:r>
            <w:r w:rsidR="002B70D1">
              <w:rPr>
                <w:noProof/>
                <w:webHidden/>
              </w:rPr>
            </w:r>
            <w:r w:rsidR="002B70D1">
              <w:rPr>
                <w:noProof/>
                <w:webHidden/>
              </w:rPr>
              <w:fldChar w:fldCharType="separate"/>
            </w:r>
            <w:r w:rsidR="00DE1A5C">
              <w:rPr>
                <w:noProof/>
                <w:webHidden/>
              </w:rPr>
              <w:t>29</w:t>
            </w:r>
            <w:r w:rsidR="002B70D1">
              <w:rPr>
                <w:noProof/>
                <w:webHidden/>
              </w:rPr>
              <w:fldChar w:fldCharType="end"/>
            </w:r>
          </w:hyperlink>
        </w:p>
        <w:p w14:paraId="4FFE21A1" w14:textId="7DBA4EC0" w:rsidR="002B70D1" w:rsidRDefault="00E75274">
          <w:pPr>
            <w:pStyle w:val="TOC2"/>
            <w:tabs>
              <w:tab w:val="left" w:pos="660"/>
              <w:tab w:val="right" w:pos="9016"/>
            </w:tabs>
            <w:rPr>
              <w:rFonts w:eastAsiaTheme="minorEastAsia" w:cstheme="minorBidi"/>
              <w:b w:val="0"/>
              <w:bCs w:val="0"/>
              <w:noProof/>
              <w:sz w:val="22"/>
              <w:szCs w:val="22"/>
              <w:lang w:val="en-IE" w:eastAsia="en-IE"/>
            </w:rPr>
          </w:pPr>
          <w:hyperlink w:anchor="_Toc152502505" w:history="1">
            <w:r w:rsidR="002B70D1" w:rsidRPr="00D95237">
              <w:rPr>
                <w:rStyle w:val="Hyperlink"/>
                <w:noProof/>
              </w:rPr>
              <w:t>7.3.</w:t>
            </w:r>
            <w:r w:rsidR="002B70D1">
              <w:rPr>
                <w:rFonts w:eastAsiaTheme="minorEastAsia" w:cstheme="minorBidi"/>
                <w:b w:val="0"/>
                <w:bCs w:val="0"/>
                <w:noProof/>
                <w:sz w:val="22"/>
                <w:szCs w:val="22"/>
                <w:lang w:val="en-IE" w:eastAsia="en-IE"/>
              </w:rPr>
              <w:tab/>
            </w:r>
            <w:r w:rsidR="002B70D1" w:rsidRPr="00D95237">
              <w:rPr>
                <w:rStyle w:val="Hyperlink"/>
                <w:noProof/>
              </w:rPr>
              <w:t>Case law developments</w:t>
            </w:r>
            <w:r w:rsidR="002B70D1">
              <w:rPr>
                <w:noProof/>
                <w:webHidden/>
              </w:rPr>
              <w:tab/>
            </w:r>
            <w:r w:rsidR="002B70D1">
              <w:rPr>
                <w:noProof/>
                <w:webHidden/>
              </w:rPr>
              <w:fldChar w:fldCharType="begin"/>
            </w:r>
            <w:r w:rsidR="002B70D1">
              <w:rPr>
                <w:noProof/>
                <w:webHidden/>
              </w:rPr>
              <w:instrText xml:space="preserve"> PAGEREF _Toc152502505 \h </w:instrText>
            </w:r>
            <w:r w:rsidR="002B70D1">
              <w:rPr>
                <w:noProof/>
                <w:webHidden/>
              </w:rPr>
            </w:r>
            <w:r w:rsidR="002B70D1">
              <w:rPr>
                <w:noProof/>
                <w:webHidden/>
              </w:rPr>
              <w:fldChar w:fldCharType="separate"/>
            </w:r>
            <w:r w:rsidR="00DE1A5C">
              <w:rPr>
                <w:noProof/>
                <w:webHidden/>
              </w:rPr>
              <w:t>35</w:t>
            </w:r>
            <w:r w:rsidR="002B70D1">
              <w:rPr>
                <w:noProof/>
                <w:webHidden/>
              </w:rPr>
              <w:fldChar w:fldCharType="end"/>
            </w:r>
          </w:hyperlink>
        </w:p>
        <w:p w14:paraId="635D0304" w14:textId="21CF6D83" w:rsidR="002B70D1" w:rsidRDefault="00E75274">
          <w:pPr>
            <w:pStyle w:val="TOC1"/>
            <w:rPr>
              <w:rFonts w:asciiTheme="minorHAnsi" w:eastAsiaTheme="minorEastAsia" w:hAnsiTheme="minorHAnsi" w:cstheme="minorBidi"/>
              <w:b w:val="0"/>
              <w:bCs w:val="0"/>
              <w:caps w:val="0"/>
              <w:noProof/>
              <w:sz w:val="22"/>
              <w:szCs w:val="22"/>
              <w:lang w:val="en-IE" w:eastAsia="en-IE"/>
            </w:rPr>
          </w:pPr>
          <w:hyperlink w:anchor="_Toc152502506" w:history="1">
            <w:r w:rsidR="002B70D1" w:rsidRPr="00D95237">
              <w:rPr>
                <w:rStyle w:val="Hyperlink"/>
                <w:noProof/>
              </w:rPr>
              <w:t>8.</w:t>
            </w:r>
            <w:r w:rsidR="002B70D1">
              <w:rPr>
                <w:rFonts w:asciiTheme="minorHAnsi" w:eastAsiaTheme="minorEastAsia" w:hAnsiTheme="minorHAnsi" w:cstheme="minorBidi"/>
                <w:b w:val="0"/>
                <w:bCs w:val="0"/>
                <w:caps w:val="0"/>
                <w:noProof/>
                <w:sz w:val="22"/>
                <w:szCs w:val="22"/>
                <w:lang w:val="en-IE" w:eastAsia="en-IE"/>
              </w:rPr>
              <w:tab/>
            </w:r>
            <w:r w:rsidR="002B70D1" w:rsidRPr="00D95237">
              <w:rPr>
                <w:rStyle w:val="Hyperlink"/>
                <w:noProof/>
              </w:rPr>
              <w:t>Right to protection by diplomatic or consular authorities (Articles 20(2)(c) and 23 TFEU)</w:t>
            </w:r>
            <w:r w:rsidR="002B70D1">
              <w:rPr>
                <w:noProof/>
                <w:webHidden/>
              </w:rPr>
              <w:tab/>
            </w:r>
            <w:r w:rsidR="002B70D1">
              <w:rPr>
                <w:noProof/>
                <w:webHidden/>
              </w:rPr>
              <w:fldChar w:fldCharType="begin"/>
            </w:r>
            <w:r w:rsidR="002B70D1">
              <w:rPr>
                <w:noProof/>
                <w:webHidden/>
              </w:rPr>
              <w:instrText xml:space="preserve"> PAGEREF _Toc152502506 \h </w:instrText>
            </w:r>
            <w:r w:rsidR="002B70D1">
              <w:rPr>
                <w:noProof/>
                <w:webHidden/>
              </w:rPr>
            </w:r>
            <w:r w:rsidR="002B70D1">
              <w:rPr>
                <w:noProof/>
                <w:webHidden/>
              </w:rPr>
              <w:fldChar w:fldCharType="separate"/>
            </w:r>
            <w:r w:rsidR="00DE1A5C">
              <w:rPr>
                <w:noProof/>
                <w:webHidden/>
              </w:rPr>
              <w:t>36</w:t>
            </w:r>
            <w:r w:rsidR="002B70D1">
              <w:rPr>
                <w:noProof/>
                <w:webHidden/>
              </w:rPr>
              <w:fldChar w:fldCharType="end"/>
            </w:r>
          </w:hyperlink>
        </w:p>
        <w:p w14:paraId="02498F04" w14:textId="44771736" w:rsidR="002B70D1" w:rsidRDefault="00E75274">
          <w:pPr>
            <w:pStyle w:val="TOC2"/>
            <w:tabs>
              <w:tab w:val="left" w:pos="660"/>
              <w:tab w:val="right" w:pos="9016"/>
            </w:tabs>
            <w:rPr>
              <w:rFonts w:eastAsiaTheme="minorEastAsia" w:cstheme="minorBidi"/>
              <w:b w:val="0"/>
              <w:bCs w:val="0"/>
              <w:noProof/>
              <w:sz w:val="22"/>
              <w:szCs w:val="22"/>
              <w:lang w:val="en-IE" w:eastAsia="en-IE"/>
            </w:rPr>
          </w:pPr>
          <w:hyperlink w:anchor="_Toc152502507" w:history="1">
            <w:r w:rsidR="002B70D1" w:rsidRPr="00D95237">
              <w:rPr>
                <w:rStyle w:val="Hyperlink"/>
                <w:noProof/>
              </w:rPr>
              <w:t>8.1.</w:t>
            </w:r>
            <w:r w:rsidR="002B70D1">
              <w:rPr>
                <w:rFonts w:eastAsiaTheme="minorEastAsia" w:cstheme="minorBidi"/>
                <w:b w:val="0"/>
                <w:bCs w:val="0"/>
                <w:noProof/>
                <w:sz w:val="22"/>
                <w:szCs w:val="22"/>
                <w:lang w:val="en-IE" w:eastAsia="en-IE"/>
              </w:rPr>
              <w:tab/>
            </w:r>
            <w:r w:rsidR="002B70D1" w:rsidRPr="00D95237">
              <w:rPr>
                <w:rStyle w:val="Hyperlink"/>
                <w:noProof/>
              </w:rPr>
              <w:t>Introduction</w:t>
            </w:r>
            <w:r w:rsidR="002B70D1">
              <w:rPr>
                <w:noProof/>
                <w:webHidden/>
              </w:rPr>
              <w:tab/>
            </w:r>
            <w:r w:rsidR="002B70D1">
              <w:rPr>
                <w:noProof/>
                <w:webHidden/>
              </w:rPr>
              <w:fldChar w:fldCharType="begin"/>
            </w:r>
            <w:r w:rsidR="002B70D1">
              <w:rPr>
                <w:noProof/>
                <w:webHidden/>
              </w:rPr>
              <w:instrText xml:space="preserve"> PAGEREF _Toc152502507 \h </w:instrText>
            </w:r>
            <w:r w:rsidR="002B70D1">
              <w:rPr>
                <w:noProof/>
                <w:webHidden/>
              </w:rPr>
            </w:r>
            <w:r w:rsidR="002B70D1">
              <w:rPr>
                <w:noProof/>
                <w:webHidden/>
              </w:rPr>
              <w:fldChar w:fldCharType="separate"/>
            </w:r>
            <w:r w:rsidR="00DE1A5C">
              <w:rPr>
                <w:noProof/>
                <w:webHidden/>
              </w:rPr>
              <w:t>36</w:t>
            </w:r>
            <w:r w:rsidR="002B70D1">
              <w:rPr>
                <w:noProof/>
                <w:webHidden/>
              </w:rPr>
              <w:fldChar w:fldCharType="end"/>
            </w:r>
          </w:hyperlink>
        </w:p>
        <w:p w14:paraId="5B0048C5" w14:textId="62BA04A9" w:rsidR="002B70D1" w:rsidRDefault="00E75274">
          <w:pPr>
            <w:pStyle w:val="TOC2"/>
            <w:tabs>
              <w:tab w:val="left" w:pos="660"/>
              <w:tab w:val="right" w:pos="9016"/>
            </w:tabs>
            <w:rPr>
              <w:rFonts w:eastAsiaTheme="minorEastAsia" w:cstheme="minorBidi"/>
              <w:b w:val="0"/>
              <w:bCs w:val="0"/>
              <w:noProof/>
              <w:sz w:val="22"/>
              <w:szCs w:val="22"/>
              <w:lang w:val="en-IE" w:eastAsia="en-IE"/>
            </w:rPr>
          </w:pPr>
          <w:hyperlink w:anchor="_Toc152502508" w:history="1">
            <w:r w:rsidR="002B70D1" w:rsidRPr="00D95237">
              <w:rPr>
                <w:rStyle w:val="Hyperlink"/>
                <w:noProof/>
              </w:rPr>
              <w:t>8.2.</w:t>
            </w:r>
            <w:r w:rsidR="002B70D1">
              <w:rPr>
                <w:rFonts w:eastAsiaTheme="minorEastAsia" w:cstheme="minorBidi"/>
                <w:b w:val="0"/>
                <w:bCs w:val="0"/>
                <w:noProof/>
                <w:sz w:val="22"/>
                <w:szCs w:val="22"/>
                <w:lang w:val="en-IE" w:eastAsia="en-IE"/>
              </w:rPr>
              <w:tab/>
            </w:r>
            <w:r w:rsidR="002B70D1" w:rsidRPr="00D95237">
              <w:rPr>
                <w:rStyle w:val="Hyperlink"/>
                <w:noProof/>
              </w:rPr>
              <w:t>Policy developments</w:t>
            </w:r>
            <w:r w:rsidR="002B70D1">
              <w:rPr>
                <w:noProof/>
                <w:webHidden/>
              </w:rPr>
              <w:tab/>
            </w:r>
            <w:r w:rsidR="002B70D1">
              <w:rPr>
                <w:noProof/>
                <w:webHidden/>
              </w:rPr>
              <w:fldChar w:fldCharType="begin"/>
            </w:r>
            <w:r w:rsidR="002B70D1">
              <w:rPr>
                <w:noProof/>
                <w:webHidden/>
              </w:rPr>
              <w:instrText xml:space="preserve"> PAGEREF _Toc152502508 \h </w:instrText>
            </w:r>
            <w:r w:rsidR="002B70D1">
              <w:rPr>
                <w:noProof/>
                <w:webHidden/>
              </w:rPr>
            </w:r>
            <w:r w:rsidR="002B70D1">
              <w:rPr>
                <w:noProof/>
                <w:webHidden/>
              </w:rPr>
              <w:fldChar w:fldCharType="separate"/>
            </w:r>
            <w:r w:rsidR="00DE1A5C">
              <w:rPr>
                <w:noProof/>
                <w:webHidden/>
              </w:rPr>
              <w:t>36</w:t>
            </w:r>
            <w:r w:rsidR="002B70D1">
              <w:rPr>
                <w:noProof/>
                <w:webHidden/>
              </w:rPr>
              <w:fldChar w:fldCharType="end"/>
            </w:r>
          </w:hyperlink>
        </w:p>
        <w:p w14:paraId="34F48FE0" w14:textId="77C00B2C" w:rsidR="002B70D1" w:rsidRDefault="00E75274">
          <w:pPr>
            <w:pStyle w:val="TOC2"/>
            <w:tabs>
              <w:tab w:val="left" w:pos="660"/>
              <w:tab w:val="right" w:pos="9016"/>
            </w:tabs>
            <w:rPr>
              <w:rFonts w:eastAsiaTheme="minorEastAsia" w:cstheme="minorBidi"/>
              <w:b w:val="0"/>
              <w:bCs w:val="0"/>
              <w:noProof/>
              <w:sz w:val="22"/>
              <w:szCs w:val="22"/>
              <w:lang w:val="en-IE" w:eastAsia="en-IE"/>
            </w:rPr>
          </w:pPr>
          <w:hyperlink w:anchor="_Toc152502509" w:history="1">
            <w:r w:rsidR="002B70D1" w:rsidRPr="00D95237">
              <w:rPr>
                <w:rStyle w:val="Hyperlink"/>
                <w:noProof/>
              </w:rPr>
              <w:t>8.3.</w:t>
            </w:r>
            <w:r w:rsidR="002B70D1">
              <w:rPr>
                <w:rFonts w:eastAsiaTheme="minorEastAsia" w:cstheme="minorBidi"/>
                <w:b w:val="0"/>
                <w:bCs w:val="0"/>
                <w:noProof/>
                <w:sz w:val="22"/>
                <w:szCs w:val="22"/>
                <w:lang w:val="en-IE" w:eastAsia="en-IE"/>
              </w:rPr>
              <w:tab/>
            </w:r>
            <w:r w:rsidR="002B70D1" w:rsidRPr="00D95237">
              <w:rPr>
                <w:rStyle w:val="Hyperlink"/>
                <w:noProof/>
              </w:rPr>
              <w:t>Case law developments</w:t>
            </w:r>
            <w:r w:rsidR="002B70D1">
              <w:rPr>
                <w:noProof/>
                <w:webHidden/>
              </w:rPr>
              <w:tab/>
            </w:r>
            <w:r w:rsidR="002B70D1">
              <w:rPr>
                <w:noProof/>
                <w:webHidden/>
              </w:rPr>
              <w:fldChar w:fldCharType="begin"/>
            </w:r>
            <w:r w:rsidR="002B70D1">
              <w:rPr>
                <w:noProof/>
                <w:webHidden/>
              </w:rPr>
              <w:instrText xml:space="preserve"> PAGEREF _Toc152502509 \h </w:instrText>
            </w:r>
            <w:r w:rsidR="002B70D1">
              <w:rPr>
                <w:noProof/>
                <w:webHidden/>
              </w:rPr>
            </w:r>
            <w:r w:rsidR="002B70D1">
              <w:rPr>
                <w:noProof/>
                <w:webHidden/>
              </w:rPr>
              <w:fldChar w:fldCharType="separate"/>
            </w:r>
            <w:r w:rsidR="00DE1A5C">
              <w:rPr>
                <w:noProof/>
                <w:webHidden/>
              </w:rPr>
              <w:t>36</w:t>
            </w:r>
            <w:r w:rsidR="002B70D1">
              <w:rPr>
                <w:noProof/>
                <w:webHidden/>
              </w:rPr>
              <w:fldChar w:fldCharType="end"/>
            </w:r>
          </w:hyperlink>
        </w:p>
        <w:p w14:paraId="25405AD8" w14:textId="5C2B63E0" w:rsidR="002B70D1" w:rsidRDefault="00E75274">
          <w:pPr>
            <w:pStyle w:val="TOC1"/>
            <w:rPr>
              <w:rFonts w:asciiTheme="minorHAnsi" w:eastAsiaTheme="minorEastAsia" w:hAnsiTheme="minorHAnsi" w:cstheme="minorBidi"/>
              <w:b w:val="0"/>
              <w:bCs w:val="0"/>
              <w:caps w:val="0"/>
              <w:noProof/>
              <w:sz w:val="22"/>
              <w:szCs w:val="22"/>
              <w:lang w:val="en-IE" w:eastAsia="en-IE"/>
            </w:rPr>
          </w:pPr>
          <w:hyperlink w:anchor="_Toc152502510" w:history="1">
            <w:r w:rsidR="002B70D1" w:rsidRPr="00D95237">
              <w:rPr>
                <w:rStyle w:val="Hyperlink"/>
                <w:noProof/>
              </w:rPr>
              <w:t>9.</w:t>
            </w:r>
            <w:r w:rsidR="002B70D1">
              <w:rPr>
                <w:rFonts w:asciiTheme="minorHAnsi" w:eastAsiaTheme="minorEastAsia" w:hAnsiTheme="minorHAnsi" w:cstheme="minorBidi"/>
                <w:b w:val="0"/>
                <w:bCs w:val="0"/>
                <w:caps w:val="0"/>
                <w:noProof/>
                <w:sz w:val="22"/>
                <w:szCs w:val="22"/>
                <w:lang w:val="en-IE" w:eastAsia="en-IE"/>
              </w:rPr>
              <w:tab/>
            </w:r>
            <w:r w:rsidR="002B70D1" w:rsidRPr="00D95237">
              <w:rPr>
                <w:rStyle w:val="Hyperlink"/>
                <w:noProof/>
              </w:rPr>
              <w:t>Right to petition the European Parliament and to address the European Ombudsman (Articles 20(2)(d) and 24(2), (3) and (4) TFEU)</w:t>
            </w:r>
            <w:r w:rsidR="002B70D1">
              <w:rPr>
                <w:noProof/>
                <w:webHidden/>
              </w:rPr>
              <w:tab/>
            </w:r>
            <w:r w:rsidR="002B70D1">
              <w:rPr>
                <w:noProof/>
                <w:webHidden/>
              </w:rPr>
              <w:fldChar w:fldCharType="begin"/>
            </w:r>
            <w:r w:rsidR="002B70D1">
              <w:rPr>
                <w:noProof/>
                <w:webHidden/>
              </w:rPr>
              <w:instrText xml:space="preserve"> PAGEREF _Toc152502510 \h </w:instrText>
            </w:r>
            <w:r w:rsidR="002B70D1">
              <w:rPr>
                <w:noProof/>
                <w:webHidden/>
              </w:rPr>
            </w:r>
            <w:r w:rsidR="002B70D1">
              <w:rPr>
                <w:noProof/>
                <w:webHidden/>
              </w:rPr>
              <w:fldChar w:fldCharType="separate"/>
            </w:r>
            <w:r w:rsidR="00DE1A5C">
              <w:rPr>
                <w:noProof/>
                <w:webHidden/>
              </w:rPr>
              <w:t>37</w:t>
            </w:r>
            <w:r w:rsidR="002B70D1">
              <w:rPr>
                <w:noProof/>
                <w:webHidden/>
              </w:rPr>
              <w:fldChar w:fldCharType="end"/>
            </w:r>
          </w:hyperlink>
        </w:p>
        <w:p w14:paraId="30E9DB79" w14:textId="21635082" w:rsidR="002B70D1" w:rsidRDefault="00E75274">
          <w:pPr>
            <w:pStyle w:val="TOC2"/>
            <w:tabs>
              <w:tab w:val="left" w:pos="660"/>
              <w:tab w:val="right" w:pos="9016"/>
            </w:tabs>
            <w:rPr>
              <w:rFonts w:eastAsiaTheme="minorEastAsia" w:cstheme="minorBidi"/>
              <w:b w:val="0"/>
              <w:bCs w:val="0"/>
              <w:noProof/>
              <w:sz w:val="22"/>
              <w:szCs w:val="22"/>
              <w:lang w:val="en-IE" w:eastAsia="en-IE"/>
            </w:rPr>
          </w:pPr>
          <w:hyperlink w:anchor="_Toc152502511" w:history="1">
            <w:r w:rsidR="002B70D1" w:rsidRPr="00D95237">
              <w:rPr>
                <w:rStyle w:val="Hyperlink"/>
                <w:noProof/>
              </w:rPr>
              <w:t>9.1.</w:t>
            </w:r>
            <w:r w:rsidR="002B70D1">
              <w:rPr>
                <w:rFonts w:eastAsiaTheme="minorEastAsia" w:cstheme="minorBidi"/>
                <w:b w:val="0"/>
                <w:bCs w:val="0"/>
                <w:noProof/>
                <w:sz w:val="22"/>
                <w:szCs w:val="22"/>
                <w:lang w:val="en-IE" w:eastAsia="en-IE"/>
              </w:rPr>
              <w:tab/>
            </w:r>
            <w:r w:rsidR="002B70D1" w:rsidRPr="00D95237">
              <w:rPr>
                <w:rStyle w:val="Hyperlink"/>
                <w:noProof/>
              </w:rPr>
              <w:t>Introduction</w:t>
            </w:r>
            <w:r w:rsidR="002B70D1">
              <w:rPr>
                <w:noProof/>
                <w:webHidden/>
              </w:rPr>
              <w:tab/>
            </w:r>
            <w:r w:rsidR="002B70D1">
              <w:rPr>
                <w:noProof/>
                <w:webHidden/>
              </w:rPr>
              <w:fldChar w:fldCharType="begin"/>
            </w:r>
            <w:r w:rsidR="002B70D1">
              <w:rPr>
                <w:noProof/>
                <w:webHidden/>
              </w:rPr>
              <w:instrText xml:space="preserve"> PAGEREF _Toc152502511 \h </w:instrText>
            </w:r>
            <w:r w:rsidR="002B70D1">
              <w:rPr>
                <w:noProof/>
                <w:webHidden/>
              </w:rPr>
            </w:r>
            <w:r w:rsidR="002B70D1">
              <w:rPr>
                <w:noProof/>
                <w:webHidden/>
              </w:rPr>
              <w:fldChar w:fldCharType="separate"/>
            </w:r>
            <w:r w:rsidR="00DE1A5C">
              <w:rPr>
                <w:noProof/>
                <w:webHidden/>
              </w:rPr>
              <w:t>37</w:t>
            </w:r>
            <w:r w:rsidR="002B70D1">
              <w:rPr>
                <w:noProof/>
                <w:webHidden/>
              </w:rPr>
              <w:fldChar w:fldCharType="end"/>
            </w:r>
          </w:hyperlink>
        </w:p>
        <w:p w14:paraId="169583FB" w14:textId="79A183ED" w:rsidR="002B70D1" w:rsidRDefault="00E75274">
          <w:pPr>
            <w:pStyle w:val="TOC2"/>
            <w:tabs>
              <w:tab w:val="left" w:pos="660"/>
              <w:tab w:val="right" w:pos="9016"/>
            </w:tabs>
            <w:rPr>
              <w:rFonts w:eastAsiaTheme="minorEastAsia" w:cstheme="minorBidi"/>
              <w:b w:val="0"/>
              <w:bCs w:val="0"/>
              <w:noProof/>
              <w:sz w:val="22"/>
              <w:szCs w:val="22"/>
              <w:lang w:val="en-IE" w:eastAsia="en-IE"/>
            </w:rPr>
          </w:pPr>
          <w:hyperlink w:anchor="_Toc152502512" w:history="1">
            <w:r w:rsidR="002B70D1" w:rsidRPr="00D95237">
              <w:rPr>
                <w:rStyle w:val="Hyperlink"/>
                <w:noProof/>
              </w:rPr>
              <w:t>9.2.</w:t>
            </w:r>
            <w:r w:rsidR="002B70D1">
              <w:rPr>
                <w:rFonts w:eastAsiaTheme="minorEastAsia" w:cstheme="minorBidi"/>
                <w:b w:val="0"/>
                <w:bCs w:val="0"/>
                <w:noProof/>
                <w:sz w:val="22"/>
                <w:szCs w:val="22"/>
                <w:lang w:val="en-IE" w:eastAsia="en-IE"/>
              </w:rPr>
              <w:tab/>
            </w:r>
            <w:r w:rsidR="002B70D1" w:rsidRPr="00D95237">
              <w:rPr>
                <w:rStyle w:val="Hyperlink"/>
                <w:noProof/>
              </w:rPr>
              <w:t>Right to petition the European Parliament</w:t>
            </w:r>
            <w:r w:rsidR="002B70D1">
              <w:rPr>
                <w:noProof/>
                <w:webHidden/>
              </w:rPr>
              <w:tab/>
            </w:r>
            <w:r w:rsidR="002B70D1">
              <w:rPr>
                <w:noProof/>
                <w:webHidden/>
              </w:rPr>
              <w:fldChar w:fldCharType="begin"/>
            </w:r>
            <w:r w:rsidR="002B70D1">
              <w:rPr>
                <w:noProof/>
                <w:webHidden/>
              </w:rPr>
              <w:instrText xml:space="preserve"> PAGEREF _Toc152502512 \h </w:instrText>
            </w:r>
            <w:r w:rsidR="002B70D1">
              <w:rPr>
                <w:noProof/>
                <w:webHidden/>
              </w:rPr>
            </w:r>
            <w:r w:rsidR="002B70D1">
              <w:rPr>
                <w:noProof/>
                <w:webHidden/>
              </w:rPr>
              <w:fldChar w:fldCharType="separate"/>
            </w:r>
            <w:r w:rsidR="00DE1A5C">
              <w:rPr>
                <w:noProof/>
                <w:webHidden/>
              </w:rPr>
              <w:t>37</w:t>
            </w:r>
            <w:r w:rsidR="002B70D1">
              <w:rPr>
                <w:noProof/>
                <w:webHidden/>
              </w:rPr>
              <w:fldChar w:fldCharType="end"/>
            </w:r>
          </w:hyperlink>
        </w:p>
        <w:p w14:paraId="00F4F18E" w14:textId="26F74BD4" w:rsidR="002B70D1" w:rsidRDefault="00E75274">
          <w:pPr>
            <w:pStyle w:val="TOC2"/>
            <w:tabs>
              <w:tab w:val="left" w:pos="660"/>
              <w:tab w:val="right" w:pos="9016"/>
            </w:tabs>
            <w:rPr>
              <w:rFonts w:eastAsiaTheme="minorEastAsia" w:cstheme="minorBidi"/>
              <w:b w:val="0"/>
              <w:bCs w:val="0"/>
              <w:noProof/>
              <w:sz w:val="22"/>
              <w:szCs w:val="22"/>
              <w:lang w:val="en-IE" w:eastAsia="en-IE"/>
            </w:rPr>
          </w:pPr>
          <w:hyperlink w:anchor="_Toc152502513" w:history="1">
            <w:r w:rsidR="002B70D1" w:rsidRPr="00D95237">
              <w:rPr>
                <w:rStyle w:val="Hyperlink"/>
                <w:noProof/>
              </w:rPr>
              <w:t>9.3.</w:t>
            </w:r>
            <w:r w:rsidR="002B70D1">
              <w:rPr>
                <w:rFonts w:eastAsiaTheme="minorEastAsia" w:cstheme="minorBidi"/>
                <w:b w:val="0"/>
                <w:bCs w:val="0"/>
                <w:noProof/>
                <w:sz w:val="22"/>
                <w:szCs w:val="22"/>
                <w:lang w:val="en-IE" w:eastAsia="en-IE"/>
              </w:rPr>
              <w:tab/>
            </w:r>
            <w:r w:rsidR="002B70D1" w:rsidRPr="00D95237">
              <w:rPr>
                <w:rStyle w:val="Hyperlink"/>
                <w:noProof/>
              </w:rPr>
              <w:t>Right to address the European Ombudsman</w:t>
            </w:r>
            <w:r w:rsidR="002B70D1">
              <w:rPr>
                <w:noProof/>
                <w:webHidden/>
              </w:rPr>
              <w:tab/>
            </w:r>
            <w:r w:rsidR="002B70D1">
              <w:rPr>
                <w:noProof/>
                <w:webHidden/>
              </w:rPr>
              <w:fldChar w:fldCharType="begin"/>
            </w:r>
            <w:r w:rsidR="002B70D1">
              <w:rPr>
                <w:noProof/>
                <w:webHidden/>
              </w:rPr>
              <w:instrText xml:space="preserve"> PAGEREF _Toc152502513 \h </w:instrText>
            </w:r>
            <w:r w:rsidR="002B70D1">
              <w:rPr>
                <w:noProof/>
                <w:webHidden/>
              </w:rPr>
            </w:r>
            <w:r w:rsidR="002B70D1">
              <w:rPr>
                <w:noProof/>
                <w:webHidden/>
              </w:rPr>
              <w:fldChar w:fldCharType="separate"/>
            </w:r>
            <w:r w:rsidR="00DE1A5C">
              <w:rPr>
                <w:noProof/>
                <w:webHidden/>
              </w:rPr>
              <w:t>38</w:t>
            </w:r>
            <w:r w:rsidR="002B70D1">
              <w:rPr>
                <w:noProof/>
                <w:webHidden/>
              </w:rPr>
              <w:fldChar w:fldCharType="end"/>
            </w:r>
          </w:hyperlink>
        </w:p>
        <w:p w14:paraId="4FE37EFF" w14:textId="377A2216" w:rsidR="002B70D1" w:rsidRDefault="00E75274">
          <w:pPr>
            <w:pStyle w:val="TOC2"/>
            <w:tabs>
              <w:tab w:val="left" w:pos="660"/>
              <w:tab w:val="right" w:pos="9016"/>
            </w:tabs>
            <w:rPr>
              <w:rFonts w:eastAsiaTheme="minorEastAsia" w:cstheme="minorBidi"/>
              <w:b w:val="0"/>
              <w:bCs w:val="0"/>
              <w:noProof/>
              <w:sz w:val="22"/>
              <w:szCs w:val="22"/>
              <w:lang w:val="en-IE" w:eastAsia="en-IE"/>
            </w:rPr>
          </w:pPr>
          <w:hyperlink w:anchor="_Toc152502514" w:history="1">
            <w:r w:rsidR="002B70D1" w:rsidRPr="00D95237">
              <w:rPr>
                <w:rStyle w:val="Hyperlink"/>
                <w:noProof/>
              </w:rPr>
              <w:t>9.4.</w:t>
            </w:r>
            <w:r w:rsidR="002B70D1">
              <w:rPr>
                <w:rFonts w:eastAsiaTheme="minorEastAsia" w:cstheme="minorBidi"/>
                <w:b w:val="0"/>
                <w:bCs w:val="0"/>
                <w:noProof/>
                <w:sz w:val="22"/>
                <w:szCs w:val="22"/>
                <w:lang w:val="en-IE" w:eastAsia="en-IE"/>
              </w:rPr>
              <w:tab/>
            </w:r>
            <w:r w:rsidR="002B70D1" w:rsidRPr="00D95237">
              <w:rPr>
                <w:rStyle w:val="Hyperlink"/>
                <w:noProof/>
              </w:rPr>
              <w:t>Case law developments</w:t>
            </w:r>
            <w:r w:rsidR="002B70D1">
              <w:rPr>
                <w:noProof/>
                <w:webHidden/>
              </w:rPr>
              <w:tab/>
            </w:r>
            <w:r w:rsidR="002B70D1">
              <w:rPr>
                <w:noProof/>
                <w:webHidden/>
              </w:rPr>
              <w:fldChar w:fldCharType="begin"/>
            </w:r>
            <w:r w:rsidR="002B70D1">
              <w:rPr>
                <w:noProof/>
                <w:webHidden/>
              </w:rPr>
              <w:instrText xml:space="preserve"> PAGEREF _Toc152502514 \h </w:instrText>
            </w:r>
            <w:r w:rsidR="002B70D1">
              <w:rPr>
                <w:noProof/>
                <w:webHidden/>
              </w:rPr>
            </w:r>
            <w:r w:rsidR="002B70D1">
              <w:rPr>
                <w:noProof/>
                <w:webHidden/>
              </w:rPr>
              <w:fldChar w:fldCharType="separate"/>
            </w:r>
            <w:r w:rsidR="00DE1A5C">
              <w:rPr>
                <w:noProof/>
                <w:webHidden/>
              </w:rPr>
              <w:t>38</w:t>
            </w:r>
            <w:r w:rsidR="002B70D1">
              <w:rPr>
                <w:noProof/>
                <w:webHidden/>
              </w:rPr>
              <w:fldChar w:fldCharType="end"/>
            </w:r>
          </w:hyperlink>
        </w:p>
        <w:p w14:paraId="658BCF22" w14:textId="6E5B967A" w:rsidR="002B70D1" w:rsidRDefault="00E75274">
          <w:pPr>
            <w:pStyle w:val="TOC1"/>
            <w:rPr>
              <w:rFonts w:asciiTheme="minorHAnsi" w:eastAsiaTheme="minorEastAsia" w:hAnsiTheme="minorHAnsi" w:cstheme="minorBidi"/>
              <w:b w:val="0"/>
              <w:bCs w:val="0"/>
              <w:caps w:val="0"/>
              <w:noProof/>
              <w:sz w:val="22"/>
              <w:szCs w:val="22"/>
              <w:lang w:val="en-IE" w:eastAsia="en-IE"/>
            </w:rPr>
          </w:pPr>
          <w:hyperlink w:anchor="_Toc152502515" w:history="1">
            <w:r w:rsidR="002B70D1" w:rsidRPr="00D95237">
              <w:rPr>
                <w:rStyle w:val="Hyperlink"/>
                <w:noProof/>
                <w:lang w:val="fr-BE"/>
              </w:rPr>
              <w:t>10.</w:t>
            </w:r>
            <w:r w:rsidR="002B70D1">
              <w:rPr>
                <w:rFonts w:asciiTheme="minorHAnsi" w:eastAsiaTheme="minorEastAsia" w:hAnsiTheme="minorHAnsi" w:cstheme="minorBidi"/>
                <w:b w:val="0"/>
                <w:bCs w:val="0"/>
                <w:caps w:val="0"/>
                <w:noProof/>
                <w:sz w:val="22"/>
                <w:szCs w:val="22"/>
                <w:lang w:val="en-IE" w:eastAsia="en-IE"/>
              </w:rPr>
              <w:tab/>
            </w:r>
            <w:r w:rsidR="002B70D1" w:rsidRPr="00D95237">
              <w:rPr>
                <w:rStyle w:val="Hyperlink"/>
                <w:noProof/>
                <w:lang w:val="fr-BE"/>
              </w:rPr>
              <w:t>European Citizens’ Initiative (Article 24 TFEU; Article 11(4) TEU)</w:t>
            </w:r>
            <w:r w:rsidR="002B70D1">
              <w:rPr>
                <w:noProof/>
                <w:webHidden/>
              </w:rPr>
              <w:tab/>
            </w:r>
            <w:r w:rsidR="002B70D1">
              <w:rPr>
                <w:noProof/>
                <w:webHidden/>
              </w:rPr>
              <w:fldChar w:fldCharType="begin"/>
            </w:r>
            <w:r w:rsidR="002B70D1">
              <w:rPr>
                <w:noProof/>
                <w:webHidden/>
              </w:rPr>
              <w:instrText xml:space="preserve"> PAGEREF _Toc152502515 \h </w:instrText>
            </w:r>
            <w:r w:rsidR="002B70D1">
              <w:rPr>
                <w:noProof/>
                <w:webHidden/>
              </w:rPr>
            </w:r>
            <w:r w:rsidR="002B70D1">
              <w:rPr>
                <w:noProof/>
                <w:webHidden/>
              </w:rPr>
              <w:fldChar w:fldCharType="separate"/>
            </w:r>
            <w:r w:rsidR="00DE1A5C">
              <w:rPr>
                <w:noProof/>
                <w:webHidden/>
              </w:rPr>
              <w:t>38</w:t>
            </w:r>
            <w:r w:rsidR="002B70D1">
              <w:rPr>
                <w:noProof/>
                <w:webHidden/>
              </w:rPr>
              <w:fldChar w:fldCharType="end"/>
            </w:r>
          </w:hyperlink>
        </w:p>
        <w:p w14:paraId="3F963021" w14:textId="480E51D7" w:rsidR="002B70D1" w:rsidRDefault="00E75274">
          <w:pPr>
            <w:pStyle w:val="TOC2"/>
            <w:tabs>
              <w:tab w:val="left" w:pos="660"/>
              <w:tab w:val="right" w:pos="9016"/>
            </w:tabs>
            <w:rPr>
              <w:rFonts w:eastAsiaTheme="minorEastAsia" w:cstheme="minorBidi"/>
              <w:b w:val="0"/>
              <w:bCs w:val="0"/>
              <w:noProof/>
              <w:sz w:val="22"/>
              <w:szCs w:val="22"/>
              <w:lang w:val="en-IE" w:eastAsia="en-IE"/>
            </w:rPr>
          </w:pPr>
          <w:hyperlink w:anchor="_Toc152502516" w:history="1">
            <w:r w:rsidR="002B70D1" w:rsidRPr="00D95237">
              <w:rPr>
                <w:rStyle w:val="Hyperlink"/>
                <w:noProof/>
              </w:rPr>
              <w:t>10.1.</w:t>
            </w:r>
            <w:r w:rsidR="002B70D1">
              <w:rPr>
                <w:rFonts w:eastAsiaTheme="minorEastAsia" w:cstheme="minorBidi"/>
                <w:b w:val="0"/>
                <w:bCs w:val="0"/>
                <w:noProof/>
                <w:sz w:val="22"/>
                <w:szCs w:val="22"/>
                <w:lang w:val="en-IE" w:eastAsia="en-IE"/>
              </w:rPr>
              <w:tab/>
            </w:r>
            <w:r w:rsidR="002B70D1" w:rsidRPr="00D95237">
              <w:rPr>
                <w:rStyle w:val="Hyperlink"/>
                <w:noProof/>
              </w:rPr>
              <w:t>Introduction</w:t>
            </w:r>
            <w:r w:rsidR="002B70D1">
              <w:rPr>
                <w:noProof/>
                <w:webHidden/>
              </w:rPr>
              <w:tab/>
            </w:r>
            <w:r w:rsidR="002B70D1">
              <w:rPr>
                <w:noProof/>
                <w:webHidden/>
              </w:rPr>
              <w:fldChar w:fldCharType="begin"/>
            </w:r>
            <w:r w:rsidR="002B70D1">
              <w:rPr>
                <w:noProof/>
                <w:webHidden/>
              </w:rPr>
              <w:instrText xml:space="preserve"> PAGEREF _Toc152502516 \h </w:instrText>
            </w:r>
            <w:r w:rsidR="002B70D1">
              <w:rPr>
                <w:noProof/>
                <w:webHidden/>
              </w:rPr>
            </w:r>
            <w:r w:rsidR="002B70D1">
              <w:rPr>
                <w:noProof/>
                <w:webHidden/>
              </w:rPr>
              <w:fldChar w:fldCharType="separate"/>
            </w:r>
            <w:r w:rsidR="00DE1A5C">
              <w:rPr>
                <w:noProof/>
                <w:webHidden/>
              </w:rPr>
              <w:t>38</w:t>
            </w:r>
            <w:r w:rsidR="002B70D1">
              <w:rPr>
                <w:noProof/>
                <w:webHidden/>
              </w:rPr>
              <w:fldChar w:fldCharType="end"/>
            </w:r>
          </w:hyperlink>
        </w:p>
        <w:p w14:paraId="7FC14796" w14:textId="3F407A2A" w:rsidR="002B70D1" w:rsidRDefault="00E75274">
          <w:pPr>
            <w:pStyle w:val="TOC2"/>
            <w:tabs>
              <w:tab w:val="left" w:pos="660"/>
              <w:tab w:val="right" w:pos="9016"/>
            </w:tabs>
            <w:rPr>
              <w:rFonts w:eastAsiaTheme="minorEastAsia" w:cstheme="minorBidi"/>
              <w:b w:val="0"/>
              <w:bCs w:val="0"/>
              <w:noProof/>
              <w:sz w:val="22"/>
              <w:szCs w:val="22"/>
              <w:lang w:val="en-IE" w:eastAsia="en-IE"/>
            </w:rPr>
          </w:pPr>
          <w:hyperlink w:anchor="_Toc152502517" w:history="1">
            <w:r w:rsidR="002B70D1" w:rsidRPr="00D95237">
              <w:rPr>
                <w:rStyle w:val="Hyperlink"/>
                <w:noProof/>
              </w:rPr>
              <w:t>10.2.</w:t>
            </w:r>
            <w:r w:rsidR="002B70D1">
              <w:rPr>
                <w:rFonts w:eastAsiaTheme="minorEastAsia" w:cstheme="minorBidi"/>
                <w:b w:val="0"/>
                <w:bCs w:val="0"/>
                <w:noProof/>
                <w:sz w:val="22"/>
                <w:szCs w:val="22"/>
                <w:lang w:val="en-IE" w:eastAsia="en-IE"/>
              </w:rPr>
              <w:tab/>
            </w:r>
            <w:r w:rsidR="002B70D1" w:rsidRPr="00D95237">
              <w:rPr>
                <w:rStyle w:val="Hyperlink"/>
                <w:noProof/>
              </w:rPr>
              <w:t>Policy developments</w:t>
            </w:r>
            <w:r w:rsidR="002B70D1">
              <w:rPr>
                <w:noProof/>
                <w:webHidden/>
              </w:rPr>
              <w:tab/>
            </w:r>
            <w:r w:rsidR="002B70D1">
              <w:rPr>
                <w:noProof/>
                <w:webHidden/>
              </w:rPr>
              <w:fldChar w:fldCharType="begin"/>
            </w:r>
            <w:r w:rsidR="002B70D1">
              <w:rPr>
                <w:noProof/>
                <w:webHidden/>
              </w:rPr>
              <w:instrText xml:space="preserve"> PAGEREF _Toc152502517 \h </w:instrText>
            </w:r>
            <w:r w:rsidR="002B70D1">
              <w:rPr>
                <w:noProof/>
                <w:webHidden/>
              </w:rPr>
            </w:r>
            <w:r w:rsidR="002B70D1">
              <w:rPr>
                <w:noProof/>
                <w:webHidden/>
              </w:rPr>
              <w:fldChar w:fldCharType="separate"/>
            </w:r>
            <w:r w:rsidR="00DE1A5C">
              <w:rPr>
                <w:noProof/>
                <w:webHidden/>
              </w:rPr>
              <w:t>39</w:t>
            </w:r>
            <w:r w:rsidR="002B70D1">
              <w:rPr>
                <w:noProof/>
                <w:webHidden/>
              </w:rPr>
              <w:fldChar w:fldCharType="end"/>
            </w:r>
          </w:hyperlink>
        </w:p>
        <w:p w14:paraId="34E45162" w14:textId="1118388F" w:rsidR="002B70D1" w:rsidRDefault="00E75274">
          <w:pPr>
            <w:pStyle w:val="TOC2"/>
            <w:tabs>
              <w:tab w:val="left" w:pos="660"/>
              <w:tab w:val="right" w:pos="9016"/>
            </w:tabs>
            <w:rPr>
              <w:rFonts w:eastAsiaTheme="minorEastAsia" w:cstheme="minorBidi"/>
              <w:b w:val="0"/>
              <w:bCs w:val="0"/>
              <w:noProof/>
              <w:sz w:val="22"/>
              <w:szCs w:val="22"/>
              <w:lang w:val="en-IE" w:eastAsia="en-IE"/>
            </w:rPr>
          </w:pPr>
          <w:hyperlink w:anchor="_Toc152502518" w:history="1">
            <w:r w:rsidR="002B70D1" w:rsidRPr="00D95237">
              <w:rPr>
                <w:rStyle w:val="Hyperlink"/>
                <w:noProof/>
              </w:rPr>
              <w:t>10.3.</w:t>
            </w:r>
            <w:r w:rsidR="002B70D1">
              <w:rPr>
                <w:rFonts w:eastAsiaTheme="minorEastAsia" w:cstheme="minorBidi"/>
                <w:b w:val="0"/>
                <w:bCs w:val="0"/>
                <w:noProof/>
                <w:sz w:val="22"/>
                <w:szCs w:val="22"/>
                <w:lang w:val="en-IE" w:eastAsia="en-IE"/>
              </w:rPr>
              <w:tab/>
            </w:r>
            <w:r w:rsidR="002B70D1" w:rsidRPr="00D95237">
              <w:rPr>
                <w:rStyle w:val="Hyperlink"/>
                <w:noProof/>
              </w:rPr>
              <w:t>Case law developments</w:t>
            </w:r>
            <w:r w:rsidR="002B70D1">
              <w:rPr>
                <w:noProof/>
                <w:webHidden/>
              </w:rPr>
              <w:tab/>
            </w:r>
            <w:r w:rsidR="002B70D1">
              <w:rPr>
                <w:noProof/>
                <w:webHidden/>
              </w:rPr>
              <w:fldChar w:fldCharType="begin"/>
            </w:r>
            <w:r w:rsidR="002B70D1">
              <w:rPr>
                <w:noProof/>
                <w:webHidden/>
              </w:rPr>
              <w:instrText xml:space="preserve"> PAGEREF _Toc152502518 \h </w:instrText>
            </w:r>
            <w:r w:rsidR="002B70D1">
              <w:rPr>
                <w:noProof/>
                <w:webHidden/>
              </w:rPr>
            </w:r>
            <w:r w:rsidR="002B70D1">
              <w:rPr>
                <w:noProof/>
                <w:webHidden/>
              </w:rPr>
              <w:fldChar w:fldCharType="separate"/>
            </w:r>
            <w:r w:rsidR="00DE1A5C">
              <w:rPr>
                <w:noProof/>
                <w:webHidden/>
              </w:rPr>
              <w:t>39</w:t>
            </w:r>
            <w:r w:rsidR="002B70D1">
              <w:rPr>
                <w:noProof/>
                <w:webHidden/>
              </w:rPr>
              <w:fldChar w:fldCharType="end"/>
            </w:r>
          </w:hyperlink>
        </w:p>
        <w:p w14:paraId="3612FB3D" w14:textId="205A1304" w:rsidR="002B70D1" w:rsidRDefault="00E75274">
          <w:pPr>
            <w:pStyle w:val="TOC1"/>
            <w:rPr>
              <w:rFonts w:asciiTheme="minorHAnsi" w:eastAsiaTheme="minorEastAsia" w:hAnsiTheme="minorHAnsi" w:cstheme="minorBidi"/>
              <w:b w:val="0"/>
              <w:bCs w:val="0"/>
              <w:caps w:val="0"/>
              <w:noProof/>
              <w:sz w:val="22"/>
              <w:szCs w:val="22"/>
              <w:lang w:val="en-IE" w:eastAsia="en-IE"/>
            </w:rPr>
          </w:pPr>
          <w:hyperlink w:anchor="_Toc152502519" w:history="1">
            <w:r w:rsidR="002B70D1" w:rsidRPr="00D95237">
              <w:rPr>
                <w:rStyle w:val="Hyperlink"/>
                <w:noProof/>
              </w:rPr>
              <w:t>11.</w:t>
            </w:r>
            <w:r w:rsidR="002B70D1">
              <w:rPr>
                <w:rFonts w:asciiTheme="minorHAnsi" w:eastAsiaTheme="minorEastAsia" w:hAnsiTheme="minorHAnsi" w:cstheme="minorBidi"/>
                <w:b w:val="0"/>
                <w:bCs w:val="0"/>
                <w:caps w:val="0"/>
                <w:noProof/>
                <w:sz w:val="22"/>
                <w:szCs w:val="22"/>
                <w:lang w:val="en-IE" w:eastAsia="en-IE"/>
              </w:rPr>
              <w:tab/>
            </w:r>
            <w:r w:rsidR="002B70D1" w:rsidRPr="00D95237">
              <w:rPr>
                <w:rStyle w:val="Hyperlink"/>
                <w:noProof/>
              </w:rPr>
              <w:t>Conclusions</w:t>
            </w:r>
            <w:r w:rsidR="002B70D1">
              <w:rPr>
                <w:noProof/>
                <w:webHidden/>
              </w:rPr>
              <w:tab/>
            </w:r>
            <w:r w:rsidR="002B70D1">
              <w:rPr>
                <w:noProof/>
                <w:webHidden/>
              </w:rPr>
              <w:fldChar w:fldCharType="begin"/>
            </w:r>
            <w:r w:rsidR="002B70D1">
              <w:rPr>
                <w:noProof/>
                <w:webHidden/>
              </w:rPr>
              <w:instrText xml:space="preserve"> PAGEREF _Toc152502519 \h </w:instrText>
            </w:r>
            <w:r w:rsidR="002B70D1">
              <w:rPr>
                <w:noProof/>
                <w:webHidden/>
              </w:rPr>
            </w:r>
            <w:r w:rsidR="002B70D1">
              <w:rPr>
                <w:noProof/>
                <w:webHidden/>
              </w:rPr>
              <w:fldChar w:fldCharType="separate"/>
            </w:r>
            <w:r w:rsidR="00DE1A5C">
              <w:rPr>
                <w:noProof/>
                <w:webHidden/>
              </w:rPr>
              <w:t>40</w:t>
            </w:r>
            <w:r w:rsidR="002B70D1">
              <w:rPr>
                <w:noProof/>
                <w:webHidden/>
              </w:rPr>
              <w:fldChar w:fldCharType="end"/>
            </w:r>
          </w:hyperlink>
        </w:p>
        <w:p w14:paraId="5E0EC6AE" w14:textId="113D1673" w:rsidR="00030350" w:rsidRPr="00BD00A9" w:rsidRDefault="00030350">
          <w:pPr>
            <w:rPr>
              <w:noProof/>
            </w:rPr>
          </w:pPr>
          <w:r w:rsidRPr="00BD00A9">
            <w:rPr>
              <w:b/>
              <w:bCs/>
              <w:noProof/>
            </w:rPr>
            <w:fldChar w:fldCharType="end"/>
          </w:r>
        </w:p>
      </w:sdtContent>
    </w:sdt>
    <w:p w14:paraId="46007055" w14:textId="2861EDD0" w:rsidR="000A06C9" w:rsidRPr="00BD00A9" w:rsidRDefault="000A06C9">
      <w:pPr>
        <w:rPr>
          <w:rFonts w:ascii="Times New Roman" w:eastAsiaTheme="majorEastAsia" w:hAnsi="Times New Roman" w:cstheme="majorBidi"/>
          <w:b/>
          <w:bCs/>
          <w:smallCaps/>
          <w:noProof/>
          <w:sz w:val="28"/>
          <w:szCs w:val="24"/>
          <w:lang w:val="en-IE" w:eastAsia="zh-CN"/>
        </w:rPr>
      </w:pPr>
      <w:r w:rsidRPr="00BD00A9">
        <w:rPr>
          <w:noProof/>
          <w:lang w:val="en-IE"/>
        </w:rPr>
        <w:br w:type="page"/>
      </w:r>
    </w:p>
    <w:p w14:paraId="5698D2D9" w14:textId="1DCF3189" w:rsidR="005D54C6" w:rsidRPr="00BD00A9" w:rsidRDefault="005D54C6" w:rsidP="005D54C6">
      <w:pPr>
        <w:pStyle w:val="Heading1"/>
        <w:ind w:left="432"/>
        <w:rPr>
          <w:lang w:val="en-IE"/>
        </w:rPr>
      </w:pPr>
      <w:bookmarkStart w:id="3" w:name="_Toc150854698"/>
      <w:bookmarkStart w:id="4" w:name="_Toc152502479"/>
      <w:r w:rsidRPr="00BD00A9">
        <w:rPr>
          <w:lang w:val="en-IE"/>
        </w:rPr>
        <w:t>Introduction</w:t>
      </w:r>
      <w:bookmarkEnd w:id="3"/>
      <w:bookmarkEnd w:id="4"/>
    </w:p>
    <w:p w14:paraId="3C8E4C8E" w14:textId="6C8EA147" w:rsidR="00C01BAD" w:rsidRPr="00BD00A9" w:rsidRDefault="00C01BAD" w:rsidP="00C01BAD">
      <w:pPr>
        <w:spacing w:after="240" w:line="276" w:lineRule="auto"/>
        <w:jc w:val="both"/>
        <w:rPr>
          <w:rFonts w:ascii="Times New Roman" w:hAnsi="Times New Roman"/>
          <w:noProof/>
          <w:sz w:val="24"/>
          <w:szCs w:val="24"/>
          <w:lang w:val="en-IE"/>
        </w:rPr>
      </w:pPr>
      <w:r w:rsidRPr="00BD00A9">
        <w:rPr>
          <w:rFonts w:ascii="Times New Roman" w:hAnsi="Times New Roman"/>
          <w:noProof/>
          <w:sz w:val="24"/>
          <w:szCs w:val="24"/>
          <w:lang w:val="en-IE"/>
        </w:rPr>
        <w:t>2023 marks the 30</w:t>
      </w:r>
      <w:r w:rsidRPr="00BD00A9">
        <w:rPr>
          <w:rFonts w:ascii="Times New Roman" w:hAnsi="Times New Roman"/>
          <w:noProof/>
          <w:sz w:val="24"/>
          <w:szCs w:val="24"/>
          <w:vertAlign w:val="superscript"/>
          <w:lang w:val="en-IE"/>
        </w:rPr>
        <w:t>th</w:t>
      </w:r>
      <w:r w:rsidRPr="00BD00A9">
        <w:rPr>
          <w:rFonts w:ascii="Times New Roman" w:hAnsi="Times New Roman"/>
          <w:noProof/>
          <w:sz w:val="24"/>
          <w:szCs w:val="24"/>
          <w:lang w:val="en-IE"/>
        </w:rPr>
        <w:t xml:space="preserve"> anniversary of the entry into force of the Maastricht Treaty, which established citizenship of the European Union (‘</w:t>
      </w:r>
      <w:r w:rsidRPr="00BD00A9">
        <w:rPr>
          <w:rFonts w:ascii="Times New Roman" w:hAnsi="Times New Roman"/>
          <w:b/>
          <w:bCs/>
          <w:noProof/>
          <w:sz w:val="24"/>
          <w:szCs w:val="24"/>
          <w:lang w:val="en-IE"/>
        </w:rPr>
        <w:t>EU citizenship</w:t>
      </w:r>
      <w:r w:rsidRPr="00BD00A9">
        <w:rPr>
          <w:rFonts w:ascii="Times New Roman" w:hAnsi="Times New Roman"/>
          <w:noProof/>
          <w:sz w:val="24"/>
          <w:szCs w:val="24"/>
          <w:lang w:val="en-IE"/>
        </w:rPr>
        <w:t>’). This report, pr</w:t>
      </w:r>
      <w:r w:rsidR="00D342A4" w:rsidRPr="00BD00A9">
        <w:rPr>
          <w:rFonts w:ascii="Times New Roman" w:hAnsi="Times New Roman"/>
          <w:noProof/>
          <w:sz w:val="24"/>
          <w:szCs w:val="24"/>
          <w:lang w:val="en-IE"/>
        </w:rPr>
        <w:t>oduced</w:t>
      </w:r>
      <w:r w:rsidRPr="00BD00A9">
        <w:rPr>
          <w:rFonts w:ascii="Times New Roman" w:hAnsi="Times New Roman"/>
          <w:noProof/>
          <w:sz w:val="24"/>
          <w:szCs w:val="24"/>
          <w:lang w:val="en-IE"/>
        </w:rPr>
        <w:t xml:space="preserve"> on the basis of Article 25 of the Treaty on the Functioning of the European Union (TFEU)</w:t>
      </w:r>
      <w:r w:rsidRPr="00BD00A9">
        <w:rPr>
          <w:rStyle w:val="FootnoteReference"/>
          <w:rFonts w:ascii="Times New Roman" w:hAnsi="Times New Roman"/>
          <w:noProof/>
          <w:sz w:val="24"/>
          <w:szCs w:val="24"/>
          <w:lang w:val="en-IE"/>
        </w:rPr>
        <w:footnoteReference w:id="2"/>
      </w:r>
      <w:r w:rsidRPr="00BD00A9">
        <w:rPr>
          <w:rFonts w:ascii="Times New Roman" w:hAnsi="Times New Roman"/>
          <w:noProof/>
          <w:sz w:val="24"/>
          <w:szCs w:val="24"/>
          <w:lang w:val="en-IE"/>
        </w:rPr>
        <w:t xml:space="preserve">, forms part of a package of measures on EU citizenship intended to build on and reinforce the rights flowing from that status as provided for in the Treaty. </w:t>
      </w:r>
    </w:p>
    <w:p w14:paraId="792B0761" w14:textId="318B6D09" w:rsidR="00D342A4" w:rsidRPr="00BD00A9" w:rsidRDefault="00730647" w:rsidP="00730647">
      <w:pPr>
        <w:spacing w:after="240" w:line="276" w:lineRule="auto"/>
        <w:jc w:val="both"/>
        <w:rPr>
          <w:rFonts w:ascii="Times New Roman" w:hAnsi="Times New Roman"/>
          <w:noProof/>
          <w:sz w:val="24"/>
          <w:szCs w:val="24"/>
          <w:lang w:val="en-IE"/>
        </w:rPr>
      </w:pPr>
      <w:r w:rsidRPr="00BD00A9">
        <w:rPr>
          <w:rFonts w:ascii="Times New Roman" w:hAnsi="Times New Roman"/>
          <w:noProof/>
          <w:sz w:val="24"/>
          <w:szCs w:val="24"/>
          <w:lang w:val="en-IE"/>
        </w:rPr>
        <w:t xml:space="preserve">In </w:t>
      </w:r>
      <w:r w:rsidR="00D342A4" w:rsidRPr="00BD00A9">
        <w:rPr>
          <w:rFonts w:ascii="Times New Roman" w:hAnsi="Times New Roman"/>
          <w:noProof/>
          <w:sz w:val="24"/>
          <w:szCs w:val="24"/>
          <w:lang w:val="en-IE"/>
        </w:rPr>
        <w:t>a</w:t>
      </w:r>
      <w:r w:rsidRPr="00BD00A9">
        <w:rPr>
          <w:rFonts w:ascii="Times New Roman" w:hAnsi="Times New Roman"/>
          <w:noProof/>
          <w:sz w:val="24"/>
          <w:szCs w:val="24"/>
          <w:lang w:val="en-IE"/>
        </w:rPr>
        <w:t xml:space="preserve"> 2023 Flash Eurobarometer </w:t>
      </w:r>
      <w:r w:rsidR="00D342A4" w:rsidRPr="00BD00A9">
        <w:rPr>
          <w:rFonts w:ascii="Times New Roman" w:hAnsi="Times New Roman"/>
          <w:noProof/>
          <w:sz w:val="24"/>
          <w:szCs w:val="24"/>
          <w:lang w:val="en-IE"/>
        </w:rPr>
        <w:t xml:space="preserve">survey </w:t>
      </w:r>
      <w:r w:rsidRPr="00BD00A9">
        <w:rPr>
          <w:rFonts w:ascii="Times New Roman" w:hAnsi="Times New Roman"/>
          <w:noProof/>
          <w:sz w:val="24"/>
          <w:szCs w:val="24"/>
          <w:lang w:val="en-IE"/>
        </w:rPr>
        <w:t xml:space="preserve">on </w:t>
      </w:r>
      <w:r w:rsidR="00D342A4" w:rsidRPr="00BD00A9">
        <w:rPr>
          <w:rFonts w:ascii="Times New Roman" w:hAnsi="Times New Roman"/>
          <w:noProof/>
          <w:sz w:val="24"/>
          <w:szCs w:val="24"/>
          <w:lang w:val="en-IE"/>
        </w:rPr>
        <w:t>c</w:t>
      </w:r>
      <w:r w:rsidRPr="00BD00A9">
        <w:rPr>
          <w:rFonts w:ascii="Times New Roman" w:hAnsi="Times New Roman"/>
          <w:noProof/>
          <w:sz w:val="24"/>
          <w:szCs w:val="24"/>
          <w:lang w:val="en-IE"/>
        </w:rPr>
        <w:t xml:space="preserve">itizenship and </w:t>
      </w:r>
      <w:r w:rsidR="00D342A4" w:rsidRPr="00BD00A9">
        <w:rPr>
          <w:rFonts w:ascii="Times New Roman" w:hAnsi="Times New Roman"/>
          <w:noProof/>
          <w:sz w:val="24"/>
          <w:szCs w:val="24"/>
          <w:lang w:val="en-IE"/>
        </w:rPr>
        <w:t>d</w:t>
      </w:r>
      <w:r w:rsidRPr="00BD00A9">
        <w:rPr>
          <w:rFonts w:ascii="Times New Roman" w:hAnsi="Times New Roman"/>
          <w:noProof/>
          <w:sz w:val="24"/>
          <w:szCs w:val="24"/>
          <w:lang w:val="en-IE"/>
        </w:rPr>
        <w:t>emocracy</w:t>
      </w:r>
      <w:r w:rsidRPr="00BD00A9">
        <w:rPr>
          <w:rStyle w:val="FootnoteReference"/>
          <w:rFonts w:ascii="Times New Roman" w:hAnsi="Times New Roman"/>
          <w:noProof/>
          <w:sz w:val="24"/>
          <w:szCs w:val="24"/>
          <w:lang w:val="en-IE"/>
        </w:rPr>
        <w:footnoteReference w:id="3"/>
      </w:r>
      <w:r w:rsidR="00D342A4" w:rsidRPr="00BD00A9">
        <w:rPr>
          <w:rFonts w:ascii="Times New Roman" w:hAnsi="Times New Roman"/>
          <w:noProof/>
          <w:sz w:val="24"/>
          <w:szCs w:val="24"/>
          <w:lang w:val="en-IE"/>
        </w:rPr>
        <w:t>:</w:t>
      </w:r>
      <w:r w:rsidRPr="00BD00A9">
        <w:rPr>
          <w:rFonts w:ascii="Times New Roman" w:hAnsi="Times New Roman"/>
          <w:noProof/>
          <w:sz w:val="24"/>
          <w:szCs w:val="24"/>
          <w:lang w:val="en-IE"/>
        </w:rPr>
        <w:t xml:space="preserve"> </w:t>
      </w:r>
    </w:p>
    <w:p w14:paraId="6D4EFB71" w14:textId="7A607C74" w:rsidR="00D342A4" w:rsidRPr="00BD00A9" w:rsidRDefault="00730647" w:rsidP="00D342A4">
      <w:pPr>
        <w:pStyle w:val="ListParagraph"/>
        <w:numPr>
          <w:ilvl w:val="0"/>
          <w:numId w:val="17"/>
        </w:numPr>
        <w:spacing w:after="240" w:line="276" w:lineRule="auto"/>
        <w:jc w:val="both"/>
        <w:rPr>
          <w:rFonts w:ascii="Times New Roman" w:hAnsi="Times New Roman"/>
          <w:noProof/>
          <w:sz w:val="24"/>
          <w:szCs w:val="24"/>
          <w:lang w:val="en-IE"/>
        </w:rPr>
      </w:pPr>
      <w:r w:rsidRPr="00BD00A9">
        <w:rPr>
          <w:rFonts w:ascii="Times New Roman" w:hAnsi="Times New Roman"/>
          <w:noProof/>
          <w:sz w:val="24"/>
          <w:szCs w:val="24"/>
          <w:lang w:val="en-IE"/>
        </w:rPr>
        <w:t xml:space="preserve">almost </w:t>
      </w:r>
      <w:r w:rsidR="00D342A4" w:rsidRPr="00BD00A9">
        <w:rPr>
          <w:rFonts w:ascii="Times New Roman" w:hAnsi="Times New Roman"/>
          <w:noProof/>
          <w:sz w:val="24"/>
          <w:szCs w:val="24"/>
          <w:lang w:val="en-IE"/>
        </w:rPr>
        <w:t>9</w:t>
      </w:r>
      <w:r w:rsidRPr="00BD00A9">
        <w:rPr>
          <w:rFonts w:ascii="Times New Roman" w:hAnsi="Times New Roman"/>
          <w:noProof/>
          <w:sz w:val="24"/>
          <w:szCs w:val="24"/>
          <w:lang w:val="en-IE"/>
        </w:rPr>
        <w:t xml:space="preserve"> </w:t>
      </w:r>
      <w:r w:rsidR="00D342A4" w:rsidRPr="00BD00A9">
        <w:rPr>
          <w:rFonts w:ascii="Times New Roman" w:hAnsi="Times New Roman"/>
          <w:noProof/>
          <w:sz w:val="24"/>
          <w:szCs w:val="24"/>
          <w:lang w:val="en-IE"/>
        </w:rPr>
        <w:t>out of</w:t>
      </w:r>
      <w:r w:rsidRPr="00BD00A9">
        <w:rPr>
          <w:rFonts w:ascii="Times New Roman" w:hAnsi="Times New Roman"/>
          <w:noProof/>
          <w:sz w:val="24"/>
          <w:szCs w:val="24"/>
          <w:lang w:val="en-IE"/>
        </w:rPr>
        <w:t xml:space="preserve"> </w:t>
      </w:r>
      <w:r w:rsidR="00D342A4" w:rsidRPr="00BD00A9">
        <w:rPr>
          <w:rFonts w:ascii="Times New Roman" w:hAnsi="Times New Roman"/>
          <w:noProof/>
          <w:sz w:val="24"/>
          <w:szCs w:val="24"/>
          <w:lang w:val="en-IE"/>
        </w:rPr>
        <w:t>10</w:t>
      </w:r>
      <w:r w:rsidRPr="00BD00A9">
        <w:rPr>
          <w:rFonts w:ascii="Times New Roman" w:hAnsi="Times New Roman"/>
          <w:noProof/>
          <w:sz w:val="24"/>
          <w:szCs w:val="24"/>
          <w:lang w:val="en-IE"/>
        </w:rPr>
        <w:t xml:space="preserve"> respondents (87%) agreed they fe</w:t>
      </w:r>
      <w:r w:rsidR="00D342A4" w:rsidRPr="00BD00A9">
        <w:rPr>
          <w:rFonts w:ascii="Times New Roman" w:hAnsi="Times New Roman"/>
          <w:noProof/>
          <w:sz w:val="24"/>
          <w:szCs w:val="24"/>
          <w:lang w:val="en-IE"/>
        </w:rPr>
        <w:t>lt like</w:t>
      </w:r>
      <w:r w:rsidRPr="00BD00A9">
        <w:rPr>
          <w:rFonts w:ascii="Times New Roman" w:hAnsi="Times New Roman"/>
          <w:noProof/>
          <w:sz w:val="24"/>
          <w:szCs w:val="24"/>
          <w:lang w:val="en-IE"/>
        </w:rPr>
        <w:t xml:space="preserve"> citizens of the European Unio</w:t>
      </w:r>
      <w:r w:rsidR="00246EE6" w:rsidRPr="00BD00A9">
        <w:rPr>
          <w:rFonts w:ascii="Times New Roman" w:hAnsi="Times New Roman"/>
          <w:noProof/>
          <w:sz w:val="24"/>
          <w:szCs w:val="24"/>
          <w:lang w:val="en-IE"/>
        </w:rPr>
        <w:t>n</w:t>
      </w:r>
      <w:r w:rsidRPr="00BD00A9">
        <w:rPr>
          <w:rFonts w:ascii="Times New Roman" w:hAnsi="Times New Roman"/>
          <w:noProof/>
          <w:sz w:val="24"/>
          <w:szCs w:val="24"/>
          <w:lang w:val="en-IE"/>
        </w:rPr>
        <w:t xml:space="preserve">, with </w:t>
      </w:r>
      <w:r w:rsidR="00D342A4" w:rsidRPr="00BD00A9">
        <w:rPr>
          <w:rFonts w:ascii="Times New Roman" w:hAnsi="Times New Roman"/>
          <w:noProof/>
          <w:sz w:val="24"/>
          <w:szCs w:val="24"/>
          <w:lang w:val="en-IE"/>
        </w:rPr>
        <w:t>more than</w:t>
      </w:r>
      <w:r w:rsidRPr="00BD00A9">
        <w:rPr>
          <w:rFonts w:ascii="Times New Roman" w:hAnsi="Times New Roman"/>
          <w:noProof/>
          <w:sz w:val="24"/>
          <w:szCs w:val="24"/>
          <w:lang w:val="en-IE"/>
        </w:rPr>
        <w:t xml:space="preserve"> </w:t>
      </w:r>
      <w:r w:rsidR="00D342A4" w:rsidRPr="00BD00A9">
        <w:rPr>
          <w:rFonts w:ascii="Times New Roman" w:hAnsi="Times New Roman"/>
          <w:noProof/>
          <w:sz w:val="24"/>
          <w:szCs w:val="24"/>
          <w:lang w:val="en-IE"/>
        </w:rPr>
        <w:t>6 out of 10</w:t>
      </w:r>
      <w:r w:rsidRPr="00BD00A9">
        <w:rPr>
          <w:rFonts w:ascii="Times New Roman" w:hAnsi="Times New Roman"/>
          <w:noProof/>
          <w:sz w:val="24"/>
          <w:szCs w:val="24"/>
          <w:lang w:val="en-IE"/>
        </w:rPr>
        <w:t xml:space="preserve"> (63%) totally agreeing</w:t>
      </w:r>
      <w:r w:rsidR="00D342A4" w:rsidRPr="00BD00A9">
        <w:rPr>
          <w:rFonts w:ascii="Times New Roman" w:hAnsi="Times New Roman"/>
          <w:noProof/>
          <w:sz w:val="24"/>
          <w:szCs w:val="24"/>
          <w:lang w:val="en-IE"/>
        </w:rPr>
        <w:t>;</w:t>
      </w:r>
      <w:r w:rsidRPr="00BD00A9">
        <w:rPr>
          <w:rFonts w:ascii="Times New Roman" w:hAnsi="Times New Roman"/>
          <w:noProof/>
          <w:sz w:val="24"/>
          <w:szCs w:val="24"/>
          <w:lang w:val="en-IE"/>
        </w:rPr>
        <w:t xml:space="preserve"> </w:t>
      </w:r>
    </w:p>
    <w:p w14:paraId="4AC08F59" w14:textId="61F86E5F" w:rsidR="00D342A4" w:rsidRPr="00BD00A9" w:rsidRDefault="00D342A4" w:rsidP="00D342A4">
      <w:pPr>
        <w:pStyle w:val="ListParagraph"/>
        <w:numPr>
          <w:ilvl w:val="0"/>
          <w:numId w:val="17"/>
        </w:numPr>
        <w:spacing w:after="240" w:line="276" w:lineRule="auto"/>
        <w:jc w:val="both"/>
        <w:rPr>
          <w:rFonts w:ascii="Times New Roman" w:hAnsi="Times New Roman"/>
          <w:noProof/>
          <w:sz w:val="24"/>
          <w:szCs w:val="24"/>
          <w:lang w:val="en-IE"/>
        </w:rPr>
      </w:pPr>
      <w:r w:rsidRPr="00BD00A9">
        <w:rPr>
          <w:rFonts w:ascii="Times New Roman" w:hAnsi="Times New Roman"/>
          <w:noProof/>
          <w:sz w:val="24"/>
          <w:szCs w:val="24"/>
          <w:lang w:val="en-IE"/>
        </w:rPr>
        <w:t>t</w:t>
      </w:r>
      <w:r w:rsidR="00730647" w:rsidRPr="00BD00A9">
        <w:rPr>
          <w:rFonts w:ascii="Times New Roman" w:hAnsi="Times New Roman"/>
          <w:noProof/>
          <w:sz w:val="24"/>
          <w:szCs w:val="24"/>
          <w:lang w:val="en-IE"/>
        </w:rPr>
        <w:t>he proportion of respondents who fe</w:t>
      </w:r>
      <w:r w:rsidRPr="00BD00A9">
        <w:rPr>
          <w:rFonts w:ascii="Times New Roman" w:hAnsi="Times New Roman"/>
          <w:noProof/>
          <w:sz w:val="24"/>
          <w:szCs w:val="24"/>
          <w:lang w:val="en-IE"/>
        </w:rPr>
        <w:t>lt they were E</w:t>
      </w:r>
      <w:r w:rsidR="005A39A6">
        <w:rPr>
          <w:rFonts w:ascii="Times New Roman" w:hAnsi="Times New Roman"/>
          <w:noProof/>
          <w:sz w:val="24"/>
          <w:szCs w:val="24"/>
          <w:lang w:val="en-IE"/>
        </w:rPr>
        <w:t>uropean Union</w:t>
      </w:r>
      <w:r w:rsidRPr="00BD00A9">
        <w:rPr>
          <w:rFonts w:ascii="Times New Roman" w:hAnsi="Times New Roman"/>
          <w:noProof/>
          <w:sz w:val="24"/>
          <w:szCs w:val="24"/>
          <w:lang w:val="en-IE"/>
        </w:rPr>
        <w:t xml:space="preserve"> citizens</w:t>
      </w:r>
      <w:r w:rsidR="00730647" w:rsidRPr="00BD00A9">
        <w:rPr>
          <w:rFonts w:ascii="Times New Roman" w:hAnsi="Times New Roman"/>
          <w:noProof/>
          <w:sz w:val="24"/>
          <w:szCs w:val="24"/>
          <w:lang w:val="en-IE"/>
        </w:rPr>
        <w:t xml:space="preserve"> </w:t>
      </w:r>
      <w:r w:rsidRPr="00BD00A9">
        <w:rPr>
          <w:rFonts w:ascii="Times New Roman" w:hAnsi="Times New Roman"/>
          <w:noProof/>
          <w:sz w:val="24"/>
          <w:szCs w:val="24"/>
          <w:lang w:val="en-IE"/>
        </w:rPr>
        <w:t>wa</w:t>
      </w:r>
      <w:r w:rsidR="00730647" w:rsidRPr="00BD00A9">
        <w:rPr>
          <w:rFonts w:ascii="Times New Roman" w:hAnsi="Times New Roman"/>
          <w:noProof/>
          <w:sz w:val="24"/>
          <w:szCs w:val="24"/>
          <w:lang w:val="en-IE"/>
        </w:rPr>
        <w:t>s at least 80% in all Members States</w:t>
      </w:r>
      <w:r w:rsidRPr="00BD00A9">
        <w:rPr>
          <w:rFonts w:ascii="Times New Roman" w:hAnsi="Times New Roman"/>
          <w:noProof/>
          <w:sz w:val="24"/>
          <w:szCs w:val="24"/>
          <w:lang w:val="en-IE"/>
        </w:rPr>
        <w:t>;</w:t>
      </w:r>
    </w:p>
    <w:p w14:paraId="455DBEBA" w14:textId="7EFE804C" w:rsidR="00D342A4" w:rsidRPr="00BD00A9" w:rsidRDefault="00730647" w:rsidP="00D342A4">
      <w:pPr>
        <w:pStyle w:val="ListParagraph"/>
        <w:numPr>
          <w:ilvl w:val="0"/>
          <w:numId w:val="17"/>
        </w:numPr>
        <w:spacing w:after="240" w:line="276" w:lineRule="auto"/>
        <w:jc w:val="both"/>
        <w:rPr>
          <w:rFonts w:ascii="Times New Roman" w:hAnsi="Times New Roman"/>
          <w:noProof/>
          <w:sz w:val="24"/>
          <w:szCs w:val="24"/>
          <w:lang w:val="en-IE"/>
        </w:rPr>
      </w:pPr>
      <w:r w:rsidRPr="00BD00A9">
        <w:rPr>
          <w:rFonts w:ascii="Times New Roman" w:hAnsi="Times New Roman"/>
          <w:noProof/>
          <w:sz w:val="24"/>
          <w:szCs w:val="24"/>
          <w:lang w:val="en-IE"/>
        </w:rPr>
        <w:t>two</w:t>
      </w:r>
      <w:r w:rsidR="00D342A4" w:rsidRPr="00BD00A9">
        <w:rPr>
          <w:rFonts w:ascii="Times New Roman" w:hAnsi="Times New Roman"/>
          <w:noProof/>
          <w:sz w:val="24"/>
          <w:szCs w:val="24"/>
          <w:lang w:val="en-IE"/>
        </w:rPr>
        <w:t xml:space="preserve"> </w:t>
      </w:r>
      <w:r w:rsidRPr="00BD00A9">
        <w:rPr>
          <w:rFonts w:ascii="Times New Roman" w:hAnsi="Times New Roman"/>
          <w:noProof/>
          <w:sz w:val="24"/>
          <w:szCs w:val="24"/>
          <w:lang w:val="en-IE"/>
        </w:rPr>
        <w:t>thirds (66%) of respondents ha</w:t>
      </w:r>
      <w:r w:rsidR="00D342A4" w:rsidRPr="00BD00A9">
        <w:rPr>
          <w:rFonts w:ascii="Times New Roman" w:hAnsi="Times New Roman"/>
          <w:noProof/>
          <w:sz w:val="24"/>
          <w:szCs w:val="24"/>
          <w:lang w:val="en-IE"/>
        </w:rPr>
        <w:t>d</w:t>
      </w:r>
      <w:r w:rsidRPr="00BD00A9">
        <w:rPr>
          <w:rFonts w:ascii="Times New Roman" w:hAnsi="Times New Roman"/>
          <w:noProof/>
          <w:sz w:val="24"/>
          <w:szCs w:val="24"/>
          <w:lang w:val="en-IE"/>
        </w:rPr>
        <w:t xml:space="preserve"> heard of the term </w:t>
      </w:r>
      <w:r w:rsidR="00D342A4" w:rsidRPr="00BD00A9">
        <w:rPr>
          <w:rFonts w:ascii="Times New Roman" w:hAnsi="Times New Roman"/>
          <w:noProof/>
          <w:sz w:val="24"/>
          <w:szCs w:val="24"/>
          <w:lang w:val="en-IE"/>
        </w:rPr>
        <w:t>‘</w:t>
      </w:r>
      <w:r w:rsidRPr="00BD00A9">
        <w:rPr>
          <w:rFonts w:ascii="Times New Roman" w:hAnsi="Times New Roman"/>
          <w:noProof/>
          <w:sz w:val="24"/>
          <w:szCs w:val="24"/>
          <w:lang w:val="en-IE"/>
        </w:rPr>
        <w:t>citizen of the European Union</w:t>
      </w:r>
      <w:r w:rsidR="00D342A4" w:rsidRPr="00BD00A9">
        <w:rPr>
          <w:rFonts w:ascii="Times New Roman" w:hAnsi="Times New Roman"/>
          <w:noProof/>
          <w:sz w:val="24"/>
          <w:szCs w:val="24"/>
          <w:lang w:val="en-IE"/>
        </w:rPr>
        <w:t>’</w:t>
      </w:r>
      <w:r w:rsidRPr="00BD00A9">
        <w:rPr>
          <w:rFonts w:ascii="Times New Roman" w:hAnsi="Times New Roman"/>
          <w:noProof/>
          <w:sz w:val="24"/>
          <w:szCs w:val="24"/>
          <w:lang w:val="en-IE"/>
        </w:rPr>
        <w:t xml:space="preserve"> and kn</w:t>
      </w:r>
      <w:r w:rsidR="00D342A4" w:rsidRPr="00BD00A9">
        <w:rPr>
          <w:rFonts w:ascii="Times New Roman" w:hAnsi="Times New Roman"/>
          <w:noProof/>
          <w:sz w:val="24"/>
          <w:szCs w:val="24"/>
          <w:lang w:val="en-IE"/>
        </w:rPr>
        <w:t>ew</w:t>
      </w:r>
      <w:r w:rsidRPr="00BD00A9">
        <w:rPr>
          <w:rFonts w:ascii="Times New Roman" w:hAnsi="Times New Roman"/>
          <w:noProof/>
          <w:sz w:val="24"/>
          <w:szCs w:val="24"/>
          <w:lang w:val="en-IE"/>
        </w:rPr>
        <w:t xml:space="preserve"> what it mean</w:t>
      </w:r>
      <w:r w:rsidR="00D342A4" w:rsidRPr="00BD00A9">
        <w:rPr>
          <w:rFonts w:ascii="Times New Roman" w:hAnsi="Times New Roman"/>
          <w:noProof/>
          <w:sz w:val="24"/>
          <w:szCs w:val="24"/>
          <w:lang w:val="en-IE"/>
        </w:rPr>
        <w:t xml:space="preserve">t; </w:t>
      </w:r>
      <w:r w:rsidRPr="00BD00A9">
        <w:rPr>
          <w:rFonts w:ascii="Times New Roman" w:hAnsi="Times New Roman"/>
          <w:noProof/>
          <w:sz w:val="24"/>
          <w:szCs w:val="24"/>
          <w:lang w:val="en-IE"/>
        </w:rPr>
        <w:t>25% ha</w:t>
      </w:r>
      <w:r w:rsidR="00D342A4" w:rsidRPr="00BD00A9">
        <w:rPr>
          <w:rFonts w:ascii="Times New Roman" w:hAnsi="Times New Roman"/>
          <w:noProof/>
          <w:sz w:val="24"/>
          <w:szCs w:val="24"/>
          <w:lang w:val="en-IE"/>
        </w:rPr>
        <w:t>d</w:t>
      </w:r>
      <w:r w:rsidRPr="00BD00A9">
        <w:rPr>
          <w:rFonts w:ascii="Times New Roman" w:hAnsi="Times New Roman"/>
          <w:noProof/>
          <w:sz w:val="24"/>
          <w:szCs w:val="24"/>
          <w:lang w:val="en-IE"/>
        </w:rPr>
        <w:t xml:space="preserve"> heard of the term but </w:t>
      </w:r>
      <w:r w:rsidR="00D342A4" w:rsidRPr="00BD00A9">
        <w:rPr>
          <w:rFonts w:ascii="Times New Roman" w:hAnsi="Times New Roman"/>
          <w:noProof/>
          <w:sz w:val="24"/>
          <w:szCs w:val="24"/>
          <w:lang w:val="en-IE"/>
        </w:rPr>
        <w:t>we</w:t>
      </w:r>
      <w:r w:rsidRPr="00BD00A9">
        <w:rPr>
          <w:rFonts w:ascii="Times New Roman" w:hAnsi="Times New Roman"/>
          <w:noProof/>
          <w:sz w:val="24"/>
          <w:szCs w:val="24"/>
          <w:lang w:val="en-IE"/>
        </w:rPr>
        <w:t>re unsure what it mean</w:t>
      </w:r>
      <w:r w:rsidR="00D342A4" w:rsidRPr="00BD00A9">
        <w:rPr>
          <w:rFonts w:ascii="Times New Roman" w:hAnsi="Times New Roman"/>
          <w:noProof/>
          <w:sz w:val="24"/>
          <w:szCs w:val="24"/>
          <w:lang w:val="en-IE"/>
        </w:rPr>
        <w:t>t</w:t>
      </w:r>
      <w:r w:rsidRPr="00BD00A9">
        <w:rPr>
          <w:rFonts w:ascii="Times New Roman" w:hAnsi="Times New Roman"/>
          <w:noProof/>
          <w:sz w:val="24"/>
          <w:szCs w:val="24"/>
          <w:lang w:val="en-IE"/>
        </w:rPr>
        <w:t xml:space="preserve">, </w:t>
      </w:r>
      <w:r w:rsidR="00D342A4" w:rsidRPr="00BD00A9">
        <w:rPr>
          <w:rFonts w:ascii="Times New Roman" w:hAnsi="Times New Roman"/>
          <w:noProof/>
          <w:sz w:val="24"/>
          <w:szCs w:val="24"/>
          <w:lang w:val="en-IE"/>
        </w:rPr>
        <w:t>and</w:t>
      </w:r>
      <w:r w:rsidRPr="00BD00A9">
        <w:rPr>
          <w:rFonts w:ascii="Times New Roman" w:hAnsi="Times New Roman"/>
          <w:noProof/>
          <w:sz w:val="24"/>
          <w:szCs w:val="24"/>
          <w:lang w:val="en-IE"/>
        </w:rPr>
        <w:t xml:space="preserve"> 9% ha</w:t>
      </w:r>
      <w:r w:rsidR="00D342A4" w:rsidRPr="00BD00A9">
        <w:rPr>
          <w:rFonts w:ascii="Times New Roman" w:hAnsi="Times New Roman"/>
          <w:noProof/>
          <w:sz w:val="24"/>
          <w:szCs w:val="24"/>
          <w:lang w:val="en-IE"/>
        </w:rPr>
        <w:t>d</w:t>
      </w:r>
      <w:r w:rsidRPr="00BD00A9">
        <w:rPr>
          <w:rFonts w:ascii="Times New Roman" w:hAnsi="Times New Roman"/>
          <w:noProof/>
          <w:sz w:val="24"/>
          <w:szCs w:val="24"/>
          <w:lang w:val="en-IE"/>
        </w:rPr>
        <w:t xml:space="preserve"> not heard of the term at all</w:t>
      </w:r>
      <w:r w:rsidR="00D342A4" w:rsidRPr="00BD00A9">
        <w:rPr>
          <w:rFonts w:ascii="Times New Roman" w:hAnsi="Times New Roman"/>
          <w:noProof/>
          <w:sz w:val="24"/>
          <w:szCs w:val="24"/>
          <w:lang w:val="en-IE"/>
        </w:rPr>
        <w:t>;</w:t>
      </w:r>
    </w:p>
    <w:p w14:paraId="04771007" w14:textId="1059F728" w:rsidR="00D342A4" w:rsidRPr="00BD00A9" w:rsidRDefault="00730647" w:rsidP="00D342A4">
      <w:pPr>
        <w:pStyle w:val="ListParagraph"/>
        <w:numPr>
          <w:ilvl w:val="0"/>
          <w:numId w:val="17"/>
        </w:numPr>
        <w:spacing w:after="240" w:line="276" w:lineRule="auto"/>
        <w:jc w:val="both"/>
        <w:rPr>
          <w:rFonts w:ascii="Times New Roman" w:hAnsi="Times New Roman"/>
          <w:noProof/>
          <w:sz w:val="24"/>
          <w:szCs w:val="24"/>
          <w:lang w:val="en-IE"/>
        </w:rPr>
      </w:pPr>
      <w:r w:rsidRPr="00BD00A9">
        <w:rPr>
          <w:rFonts w:ascii="Times New Roman" w:hAnsi="Times New Roman"/>
          <w:noProof/>
          <w:sz w:val="24"/>
          <w:szCs w:val="24"/>
          <w:lang w:val="en-IE"/>
        </w:rPr>
        <w:t>half of respondents (50%) sa</w:t>
      </w:r>
      <w:r w:rsidR="00D342A4" w:rsidRPr="00BD00A9">
        <w:rPr>
          <w:rFonts w:ascii="Times New Roman" w:hAnsi="Times New Roman"/>
          <w:noProof/>
          <w:sz w:val="24"/>
          <w:szCs w:val="24"/>
          <w:lang w:val="en-IE"/>
        </w:rPr>
        <w:t>id</w:t>
      </w:r>
      <w:r w:rsidRPr="00BD00A9">
        <w:rPr>
          <w:rFonts w:ascii="Times New Roman" w:hAnsi="Times New Roman"/>
          <w:noProof/>
          <w:sz w:val="24"/>
          <w:szCs w:val="24"/>
          <w:lang w:val="en-IE"/>
        </w:rPr>
        <w:t xml:space="preserve"> they fe</w:t>
      </w:r>
      <w:r w:rsidR="00D342A4" w:rsidRPr="00BD00A9">
        <w:rPr>
          <w:rFonts w:ascii="Times New Roman" w:hAnsi="Times New Roman"/>
          <w:noProof/>
          <w:sz w:val="24"/>
          <w:szCs w:val="24"/>
          <w:lang w:val="en-IE"/>
        </w:rPr>
        <w:t>lt</w:t>
      </w:r>
      <w:r w:rsidRPr="00BD00A9">
        <w:rPr>
          <w:rFonts w:ascii="Times New Roman" w:hAnsi="Times New Roman"/>
          <w:noProof/>
          <w:sz w:val="24"/>
          <w:szCs w:val="24"/>
          <w:lang w:val="en-IE"/>
        </w:rPr>
        <w:t xml:space="preserve"> well informed about their rights as a citizen of the </w:t>
      </w:r>
      <w:r w:rsidR="00EC08AA">
        <w:rPr>
          <w:rFonts w:ascii="Times New Roman" w:hAnsi="Times New Roman"/>
          <w:noProof/>
          <w:sz w:val="24"/>
          <w:szCs w:val="24"/>
          <w:lang w:val="en-IE"/>
        </w:rPr>
        <w:t>European Union</w:t>
      </w:r>
      <w:r w:rsidRPr="00BD00A9">
        <w:rPr>
          <w:rFonts w:ascii="Times New Roman" w:hAnsi="Times New Roman"/>
          <w:noProof/>
          <w:sz w:val="24"/>
          <w:szCs w:val="24"/>
          <w:lang w:val="en-IE"/>
        </w:rPr>
        <w:t>, a third (33%) d</w:t>
      </w:r>
      <w:r w:rsidR="00D342A4" w:rsidRPr="00BD00A9">
        <w:rPr>
          <w:rFonts w:ascii="Times New Roman" w:hAnsi="Times New Roman"/>
          <w:noProof/>
          <w:sz w:val="24"/>
          <w:szCs w:val="24"/>
          <w:lang w:val="en-IE"/>
        </w:rPr>
        <w:t>id</w:t>
      </w:r>
      <w:r w:rsidRPr="00BD00A9">
        <w:rPr>
          <w:rFonts w:ascii="Times New Roman" w:hAnsi="Times New Roman"/>
          <w:noProof/>
          <w:sz w:val="24"/>
          <w:szCs w:val="24"/>
          <w:lang w:val="en-IE"/>
        </w:rPr>
        <w:t xml:space="preserve"> not feel very well informed and 16% d</w:t>
      </w:r>
      <w:r w:rsidR="00D342A4" w:rsidRPr="00BD00A9">
        <w:rPr>
          <w:rFonts w:ascii="Times New Roman" w:hAnsi="Times New Roman"/>
          <w:noProof/>
          <w:sz w:val="24"/>
          <w:szCs w:val="24"/>
          <w:lang w:val="en-IE"/>
        </w:rPr>
        <w:t>id</w:t>
      </w:r>
      <w:r w:rsidRPr="00BD00A9">
        <w:rPr>
          <w:rFonts w:ascii="Times New Roman" w:hAnsi="Times New Roman"/>
          <w:noProof/>
          <w:sz w:val="24"/>
          <w:szCs w:val="24"/>
          <w:lang w:val="en-IE"/>
        </w:rPr>
        <w:t xml:space="preserve"> not feel at all informed.</w:t>
      </w:r>
    </w:p>
    <w:p w14:paraId="0AB207C3" w14:textId="0E492460" w:rsidR="00730647" w:rsidRPr="00BD00A9" w:rsidRDefault="00730647" w:rsidP="00D342A4">
      <w:pPr>
        <w:spacing w:after="240" w:line="276" w:lineRule="auto"/>
        <w:jc w:val="both"/>
        <w:rPr>
          <w:rFonts w:ascii="Times New Roman" w:hAnsi="Times New Roman"/>
          <w:noProof/>
          <w:sz w:val="24"/>
          <w:szCs w:val="24"/>
          <w:lang w:val="en-IE"/>
        </w:rPr>
      </w:pPr>
      <w:r w:rsidRPr="00BD00A9">
        <w:rPr>
          <w:rFonts w:ascii="Times New Roman" w:hAnsi="Times New Roman"/>
          <w:noProof/>
          <w:sz w:val="24"/>
          <w:szCs w:val="24"/>
          <w:lang w:val="en-IE"/>
        </w:rPr>
        <w:t xml:space="preserve">Clear and comprehensive reporting is therefore important so that </w:t>
      </w:r>
      <w:r w:rsidR="00246EE6" w:rsidRPr="00BD00A9">
        <w:rPr>
          <w:rFonts w:ascii="Times New Roman" w:hAnsi="Times New Roman"/>
          <w:noProof/>
          <w:sz w:val="24"/>
          <w:szCs w:val="24"/>
          <w:lang w:val="en-IE"/>
        </w:rPr>
        <w:t>citizens of the European Union (‘</w:t>
      </w:r>
      <w:r w:rsidRPr="00BD00A9">
        <w:rPr>
          <w:rFonts w:ascii="Times New Roman" w:hAnsi="Times New Roman"/>
          <w:b/>
          <w:bCs/>
          <w:noProof/>
          <w:sz w:val="24"/>
          <w:szCs w:val="24"/>
          <w:lang w:val="en-IE"/>
        </w:rPr>
        <w:t>EU citizens</w:t>
      </w:r>
      <w:r w:rsidR="00246EE6" w:rsidRPr="00BD00A9">
        <w:rPr>
          <w:rFonts w:ascii="Times New Roman" w:hAnsi="Times New Roman"/>
          <w:noProof/>
          <w:sz w:val="24"/>
          <w:szCs w:val="24"/>
          <w:lang w:val="en-IE"/>
        </w:rPr>
        <w:t>’)</w:t>
      </w:r>
      <w:r w:rsidRPr="00BD00A9">
        <w:rPr>
          <w:rFonts w:ascii="Times New Roman" w:hAnsi="Times New Roman"/>
          <w:noProof/>
          <w:sz w:val="24"/>
          <w:szCs w:val="24"/>
          <w:lang w:val="en-IE"/>
        </w:rPr>
        <w:t xml:space="preserve"> are better informed about their rights, to understand where progress has been made and where potential implementation gaps remain. </w:t>
      </w:r>
    </w:p>
    <w:p w14:paraId="2B06E24E" w14:textId="170C59BB" w:rsidR="0028177C" w:rsidRPr="00BD00A9" w:rsidRDefault="00730647" w:rsidP="00730647">
      <w:pPr>
        <w:spacing w:after="240" w:line="276" w:lineRule="auto"/>
        <w:jc w:val="both"/>
        <w:rPr>
          <w:rFonts w:ascii="Times New Roman" w:hAnsi="Times New Roman"/>
          <w:noProof/>
          <w:sz w:val="24"/>
          <w:szCs w:val="24"/>
          <w:lang w:val="en-IE"/>
        </w:rPr>
      </w:pPr>
      <w:r w:rsidRPr="00BD00A9">
        <w:rPr>
          <w:rFonts w:ascii="Times New Roman" w:hAnsi="Times New Roman"/>
          <w:noProof/>
          <w:sz w:val="24"/>
          <w:szCs w:val="24"/>
          <w:lang w:val="en-IE"/>
        </w:rPr>
        <w:t>This</w:t>
      </w:r>
      <w:r w:rsidR="00D342A4" w:rsidRPr="00BD00A9">
        <w:rPr>
          <w:rFonts w:ascii="Times New Roman" w:hAnsi="Times New Roman"/>
          <w:noProof/>
          <w:sz w:val="24"/>
          <w:szCs w:val="24"/>
          <w:lang w:val="en-IE"/>
        </w:rPr>
        <w:t xml:space="preserve"> report</w:t>
      </w:r>
      <w:r w:rsidR="004C6838" w:rsidRPr="00BD00A9">
        <w:rPr>
          <w:rFonts w:ascii="Times New Roman" w:hAnsi="Times New Roman"/>
          <w:noProof/>
          <w:sz w:val="24"/>
          <w:szCs w:val="24"/>
          <w:lang w:val="en-IE"/>
        </w:rPr>
        <w:t xml:space="preserve">, </w:t>
      </w:r>
      <w:r w:rsidR="00D342A4" w:rsidRPr="00BD00A9">
        <w:rPr>
          <w:rFonts w:ascii="Times New Roman" w:hAnsi="Times New Roman"/>
          <w:noProof/>
          <w:sz w:val="24"/>
          <w:szCs w:val="24"/>
          <w:lang w:val="en-IE"/>
        </w:rPr>
        <w:t>the</w:t>
      </w:r>
      <w:r w:rsidRPr="00BD00A9">
        <w:rPr>
          <w:rFonts w:ascii="Times New Roman" w:hAnsi="Times New Roman"/>
          <w:noProof/>
          <w:sz w:val="24"/>
          <w:szCs w:val="24"/>
          <w:lang w:val="en-IE"/>
        </w:rPr>
        <w:t xml:space="preserve"> tenth report presented pursuant to Article 25 TFEU</w:t>
      </w:r>
      <w:r w:rsidR="004C6838" w:rsidRPr="00BD00A9">
        <w:rPr>
          <w:rFonts w:ascii="Times New Roman" w:hAnsi="Times New Roman"/>
          <w:noProof/>
          <w:sz w:val="24"/>
          <w:szCs w:val="24"/>
          <w:lang w:val="en-IE"/>
        </w:rPr>
        <w:t>,</w:t>
      </w:r>
      <w:r w:rsidRPr="00BD00A9">
        <w:rPr>
          <w:rFonts w:ascii="Times New Roman" w:hAnsi="Times New Roman"/>
          <w:noProof/>
          <w:sz w:val="24"/>
          <w:szCs w:val="24"/>
          <w:lang w:val="en-IE"/>
        </w:rPr>
        <w:t xml:space="preserve"> covers </w:t>
      </w:r>
      <w:r w:rsidR="00150DA1">
        <w:rPr>
          <w:rFonts w:ascii="Times New Roman" w:hAnsi="Times New Roman"/>
          <w:noProof/>
          <w:sz w:val="24"/>
          <w:szCs w:val="24"/>
          <w:lang w:val="en-IE"/>
        </w:rPr>
        <w:t>all relevant developments since the previous</w:t>
      </w:r>
      <w:r w:rsidR="00432968">
        <w:rPr>
          <w:rFonts w:ascii="Times New Roman" w:hAnsi="Times New Roman"/>
          <w:noProof/>
          <w:sz w:val="24"/>
          <w:szCs w:val="24"/>
          <w:lang w:val="en-IE"/>
        </w:rPr>
        <w:t xml:space="preserve"> progress</w:t>
      </w:r>
      <w:r w:rsidR="00150DA1">
        <w:rPr>
          <w:rFonts w:ascii="Times New Roman" w:hAnsi="Times New Roman"/>
          <w:noProof/>
          <w:sz w:val="24"/>
          <w:szCs w:val="24"/>
          <w:lang w:val="en-IE"/>
        </w:rPr>
        <w:t xml:space="preserve"> report</w:t>
      </w:r>
      <w:r w:rsidRPr="00BD00A9">
        <w:rPr>
          <w:rStyle w:val="FootnoteReference"/>
          <w:rFonts w:ascii="Times New Roman" w:hAnsi="Times New Roman"/>
          <w:noProof/>
          <w:sz w:val="24"/>
          <w:szCs w:val="24"/>
          <w:lang w:val="en-IE"/>
        </w:rPr>
        <w:footnoteReference w:id="4"/>
      </w:r>
      <w:r w:rsidRPr="00BD00A9">
        <w:rPr>
          <w:rFonts w:ascii="Times New Roman" w:hAnsi="Times New Roman"/>
          <w:noProof/>
          <w:sz w:val="24"/>
          <w:szCs w:val="24"/>
          <w:lang w:val="en-IE"/>
        </w:rPr>
        <w:t xml:space="preserve">. It first explains how this report forms part of a broader Citizenship Package. It </w:t>
      </w:r>
      <w:r w:rsidR="006F3AE9" w:rsidRPr="00BD00A9">
        <w:rPr>
          <w:rFonts w:ascii="Times New Roman" w:hAnsi="Times New Roman"/>
          <w:noProof/>
          <w:sz w:val="24"/>
          <w:szCs w:val="24"/>
          <w:lang w:val="en-IE"/>
        </w:rPr>
        <w:t xml:space="preserve">then </w:t>
      </w:r>
      <w:r w:rsidRPr="00BD00A9">
        <w:rPr>
          <w:rFonts w:ascii="Times New Roman" w:hAnsi="Times New Roman"/>
          <w:noProof/>
          <w:sz w:val="24"/>
          <w:szCs w:val="24"/>
          <w:lang w:val="en-IE"/>
        </w:rPr>
        <w:t xml:space="preserve">reviews the provisions </w:t>
      </w:r>
      <w:r w:rsidR="00D342A4" w:rsidRPr="00BD00A9">
        <w:rPr>
          <w:rFonts w:ascii="Times New Roman" w:hAnsi="Times New Roman"/>
          <w:noProof/>
          <w:sz w:val="24"/>
          <w:szCs w:val="24"/>
          <w:lang w:val="en-IE"/>
        </w:rPr>
        <w:t>on</w:t>
      </w:r>
      <w:r w:rsidRPr="00BD00A9">
        <w:rPr>
          <w:rFonts w:ascii="Times New Roman" w:hAnsi="Times New Roman"/>
          <w:noProof/>
          <w:sz w:val="24"/>
          <w:szCs w:val="24"/>
          <w:lang w:val="en-IE"/>
        </w:rPr>
        <w:t xml:space="preserve">: </w:t>
      </w:r>
    </w:p>
    <w:p w14:paraId="3A9086EC" w14:textId="0A39C743" w:rsidR="0028177C" w:rsidRPr="00BD00A9" w:rsidRDefault="00730647" w:rsidP="0028177C">
      <w:pPr>
        <w:pStyle w:val="ListParagraph"/>
        <w:numPr>
          <w:ilvl w:val="0"/>
          <w:numId w:val="18"/>
        </w:numPr>
        <w:spacing w:after="240" w:line="276" w:lineRule="auto"/>
        <w:jc w:val="both"/>
        <w:rPr>
          <w:rFonts w:ascii="Times New Roman" w:hAnsi="Times New Roman"/>
          <w:noProof/>
          <w:sz w:val="24"/>
          <w:szCs w:val="24"/>
          <w:lang w:val="en-IE"/>
        </w:rPr>
      </w:pPr>
      <w:r w:rsidRPr="00BD00A9">
        <w:rPr>
          <w:rFonts w:ascii="Times New Roman" w:hAnsi="Times New Roman"/>
          <w:noProof/>
          <w:sz w:val="24"/>
          <w:szCs w:val="24"/>
          <w:lang w:val="en-IE"/>
        </w:rPr>
        <w:t>EU citizenship</w:t>
      </w:r>
      <w:r w:rsidR="0028177C" w:rsidRPr="00BD00A9">
        <w:rPr>
          <w:rFonts w:ascii="Times New Roman" w:hAnsi="Times New Roman"/>
          <w:noProof/>
          <w:sz w:val="24"/>
          <w:szCs w:val="24"/>
          <w:lang w:val="en-IE"/>
        </w:rPr>
        <w:t>;</w:t>
      </w:r>
    </w:p>
    <w:p w14:paraId="5969CC7B" w14:textId="659E08E3" w:rsidR="0028177C" w:rsidRPr="00BD00A9" w:rsidRDefault="00730647" w:rsidP="0028177C">
      <w:pPr>
        <w:pStyle w:val="ListParagraph"/>
        <w:numPr>
          <w:ilvl w:val="0"/>
          <w:numId w:val="18"/>
        </w:numPr>
        <w:spacing w:after="240" w:line="276" w:lineRule="auto"/>
        <w:jc w:val="both"/>
        <w:rPr>
          <w:rFonts w:ascii="Times New Roman" w:hAnsi="Times New Roman"/>
          <w:noProof/>
          <w:sz w:val="24"/>
          <w:szCs w:val="24"/>
          <w:lang w:val="en-IE"/>
        </w:rPr>
      </w:pPr>
      <w:r w:rsidRPr="00BD00A9">
        <w:rPr>
          <w:rFonts w:ascii="Times New Roman" w:hAnsi="Times New Roman"/>
          <w:noProof/>
          <w:sz w:val="24"/>
          <w:szCs w:val="24"/>
          <w:lang w:val="en-IE"/>
        </w:rPr>
        <w:t>non-discrimination;</w:t>
      </w:r>
    </w:p>
    <w:p w14:paraId="6C7EC7DC" w14:textId="7AC7EB77" w:rsidR="0028177C" w:rsidRPr="00BD00A9" w:rsidRDefault="00730647" w:rsidP="0028177C">
      <w:pPr>
        <w:pStyle w:val="ListParagraph"/>
        <w:numPr>
          <w:ilvl w:val="0"/>
          <w:numId w:val="18"/>
        </w:numPr>
        <w:spacing w:after="240" w:line="276" w:lineRule="auto"/>
        <w:jc w:val="both"/>
        <w:rPr>
          <w:rFonts w:ascii="Times New Roman" w:hAnsi="Times New Roman"/>
          <w:noProof/>
          <w:sz w:val="24"/>
          <w:szCs w:val="24"/>
          <w:lang w:val="en-IE"/>
        </w:rPr>
      </w:pPr>
      <w:r w:rsidRPr="00BD00A9">
        <w:rPr>
          <w:rFonts w:ascii="Times New Roman" w:hAnsi="Times New Roman"/>
          <w:noProof/>
          <w:sz w:val="24"/>
          <w:szCs w:val="24"/>
          <w:lang w:val="en-IE"/>
        </w:rPr>
        <w:t>the right to free movement and residence in the territory of the Member States;</w:t>
      </w:r>
    </w:p>
    <w:p w14:paraId="376F3694" w14:textId="5CB60009" w:rsidR="0028177C" w:rsidRPr="00BD00A9" w:rsidRDefault="00730647" w:rsidP="0028177C">
      <w:pPr>
        <w:pStyle w:val="ListParagraph"/>
        <w:numPr>
          <w:ilvl w:val="0"/>
          <w:numId w:val="18"/>
        </w:numPr>
        <w:spacing w:after="240" w:line="276" w:lineRule="auto"/>
        <w:jc w:val="both"/>
        <w:rPr>
          <w:rFonts w:ascii="Times New Roman" w:hAnsi="Times New Roman"/>
          <w:noProof/>
          <w:sz w:val="24"/>
          <w:szCs w:val="24"/>
          <w:lang w:val="en-IE"/>
        </w:rPr>
      </w:pPr>
      <w:r w:rsidRPr="00BD00A9">
        <w:rPr>
          <w:rFonts w:ascii="Times New Roman" w:hAnsi="Times New Roman"/>
          <w:noProof/>
          <w:sz w:val="24"/>
          <w:szCs w:val="24"/>
          <w:lang w:val="en-IE"/>
        </w:rPr>
        <w:t xml:space="preserve">the right to vote and stand as a candidate at municipal </w:t>
      </w:r>
      <w:r w:rsidR="00875012" w:rsidRPr="00BD00A9">
        <w:rPr>
          <w:rFonts w:ascii="Times New Roman" w:hAnsi="Times New Roman"/>
          <w:noProof/>
          <w:sz w:val="24"/>
          <w:szCs w:val="24"/>
          <w:lang w:val="en-IE"/>
        </w:rPr>
        <w:t xml:space="preserve">elections </w:t>
      </w:r>
      <w:r w:rsidRPr="00BD00A9">
        <w:rPr>
          <w:rFonts w:ascii="Times New Roman" w:hAnsi="Times New Roman"/>
          <w:noProof/>
          <w:sz w:val="24"/>
          <w:szCs w:val="24"/>
          <w:lang w:val="en-IE"/>
        </w:rPr>
        <w:t xml:space="preserve">and </w:t>
      </w:r>
      <w:r w:rsidR="00875012" w:rsidRPr="00BD00A9">
        <w:rPr>
          <w:rFonts w:ascii="Times New Roman" w:hAnsi="Times New Roman"/>
          <w:noProof/>
          <w:sz w:val="24"/>
          <w:szCs w:val="24"/>
          <w:lang w:val="en-IE"/>
        </w:rPr>
        <w:t xml:space="preserve">elections to the </w:t>
      </w:r>
      <w:r w:rsidRPr="00BD00A9">
        <w:rPr>
          <w:rFonts w:ascii="Times New Roman" w:hAnsi="Times New Roman"/>
          <w:noProof/>
          <w:sz w:val="24"/>
          <w:szCs w:val="24"/>
          <w:lang w:val="en-IE"/>
        </w:rPr>
        <w:t>European Parliament in the Member State of residence;</w:t>
      </w:r>
    </w:p>
    <w:p w14:paraId="1310EE25" w14:textId="4D2C2F70" w:rsidR="0028177C" w:rsidRPr="00BD00A9" w:rsidRDefault="00730647" w:rsidP="0028177C">
      <w:pPr>
        <w:pStyle w:val="ListParagraph"/>
        <w:numPr>
          <w:ilvl w:val="0"/>
          <w:numId w:val="18"/>
        </w:numPr>
        <w:spacing w:after="240" w:line="276" w:lineRule="auto"/>
        <w:jc w:val="both"/>
        <w:rPr>
          <w:rFonts w:ascii="Times New Roman" w:hAnsi="Times New Roman"/>
          <w:noProof/>
          <w:sz w:val="24"/>
          <w:szCs w:val="24"/>
          <w:lang w:val="en-IE"/>
        </w:rPr>
      </w:pPr>
      <w:r w:rsidRPr="00BD00A9">
        <w:rPr>
          <w:rFonts w:ascii="Times New Roman" w:hAnsi="Times New Roman"/>
          <w:noProof/>
          <w:sz w:val="24"/>
          <w:szCs w:val="24"/>
          <w:lang w:val="en-IE"/>
        </w:rPr>
        <w:t>the right to consular protection;</w:t>
      </w:r>
    </w:p>
    <w:p w14:paraId="21502D55" w14:textId="3324B12F" w:rsidR="0028177C" w:rsidRPr="00BD00A9" w:rsidRDefault="00730647" w:rsidP="0028177C">
      <w:pPr>
        <w:pStyle w:val="ListParagraph"/>
        <w:numPr>
          <w:ilvl w:val="0"/>
          <w:numId w:val="18"/>
        </w:numPr>
        <w:spacing w:after="240" w:line="276" w:lineRule="auto"/>
        <w:jc w:val="both"/>
        <w:rPr>
          <w:rFonts w:ascii="Times New Roman" w:hAnsi="Times New Roman"/>
          <w:noProof/>
          <w:sz w:val="24"/>
          <w:szCs w:val="24"/>
          <w:lang w:val="en-IE"/>
        </w:rPr>
      </w:pPr>
      <w:r w:rsidRPr="00BD00A9">
        <w:rPr>
          <w:rFonts w:ascii="Times New Roman" w:hAnsi="Times New Roman"/>
          <w:noProof/>
          <w:sz w:val="24"/>
          <w:szCs w:val="24"/>
          <w:lang w:val="en-IE"/>
        </w:rPr>
        <w:t>the right to petition the European Parliament</w:t>
      </w:r>
      <w:r w:rsidR="0028177C" w:rsidRPr="00BD00A9">
        <w:rPr>
          <w:rFonts w:ascii="Times New Roman" w:hAnsi="Times New Roman"/>
          <w:noProof/>
          <w:sz w:val="24"/>
          <w:szCs w:val="24"/>
          <w:lang w:val="en-IE"/>
        </w:rPr>
        <w:t>;</w:t>
      </w:r>
    </w:p>
    <w:p w14:paraId="16D40D44" w14:textId="21AE1538" w:rsidR="0028177C" w:rsidRPr="00BD00A9" w:rsidRDefault="00730647" w:rsidP="0028177C">
      <w:pPr>
        <w:pStyle w:val="ListParagraph"/>
        <w:numPr>
          <w:ilvl w:val="0"/>
          <w:numId w:val="18"/>
        </w:numPr>
        <w:spacing w:after="240" w:line="276" w:lineRule="auto"/>
        <w:jc w:val="both"/>
        <w:rPr>
          <w:rFonts w:ascii="Times New Roman" w:hAnsi="Times New Roman"/>
          <w:noProof/>
          <w:sz w:val="24"/>
          <w:szCs w:val="24"/>
          <w:lang w:val="en-IE"/>
        </w:rPr>
      </w:pPr>
      <w:r w:rsidRPr="00BD00A9">
        <w:rPr>
          <w:rFonts w:ascii="Times New Roman" w:hAnsi="Times New Roman"/>
          <w:noProof/>
          <w:sz w:val="24"/>
          <w:szCs w:val="24"/>
          <w:lang w:val="en-IE"/>
        </w:rPr>
        <w:t>the right to take complaints to the Ombudsman; an</w:t>
      </w:r>
      <w:r w:rsidR="0028177C" w:rsidRPr="00BD00A9">
        <w:rPr>
          <w:rFonts w:ascii="Times New Roman" w:hAnsi="Times New Roman"/>
          <w:noProof/>
          <w:sz w:val="24"/>
          <w:szCs w:val="24"/>
          <w:lang w:val="en-IE"/>
        </w:rPr>
        <w:t>d</w:t>
      </w:r>
    </w:p>
    <w:p w14:paraId="6E89E821" w14:textId="2E70C136" w:rsidR="0028177C" w:rsidRPr="00BD00A9" w:rsidRDefault="00730647" w:rsidP="0028177C">
      <w:pPr>
        <w:pStyle w:val="ListParagraph"/>
        <w:numPr>
          <w:ilvl w:val="0"/>
          <w:numId w:val="18"/>
        </w:numPr>
        <w:spacing w:after="240" w:line="276" w:lineRule="auto"/>
        <w:jc w:val="both"/>
        <w:rPr>
          <w:rFonts w:ascii="Times New Roman" w:hAnsi="Times New Roman"/>
          <w:noProof/>
          <w:sz w:val="24"/>
          <w:szCs w:val="24"/>
          <w:lang w:val="en-IE"/>
        </w:rPr>
      </w:pPr>
      <w:r w:rsidRPr="00BD00A9">
        <w:rPr>
          <w:rFonts w:ascii="Times New Roman" w:hAnsi="Times New Roman"/>
          <w:noProof/>
          <w:sz w:val="24"/>
          <w:szCs w:val="24"/>
          <w:lang w:val="en-IE"/>
        </w:rPr>
        <w:t>the European Citizens’ Initiative.</w:t>
      </w:r>
    </w:p>
    <w:p w14:paraId="5A27D566" w14:textId="633C6F5C" w:rsidR="00730647" w:rsidRPr="00BD00A9" w:rsidRDefault="00730647" w:rsidP="0028177C">
      <w:pPr>
        <w:spacing w:after="240" w:line="276" w:lineRule="auto"/>
        <w:jc w:val="both"/>
        <w:rPr>
          <w:rFonts w:ascii="Times New Roman" w:hAnsi="Times New Roman"/>
          <w:noProof/>
          <w:sz w:val="24"/>
          <w:szCs w:val="24"/>
          <w:lang w:val="en-IE"/>
        </w:rPr>
      </w:pPr>
      <w:r w:rsidRPr="00BD00A9">
        <w:rPr>
          <w:rFonts w:ascii="Times New Roman" w:hAnsi="Times New Roman"/>
          <w:noProof/>
          <w:sz w:val="24"/>
          <w:szCs w:val="24"/>
          <w:lang w:val="en-IE"/>
        </w:rPr>
        <w:t xml:space="preserve">The report takes stock of policy initiatives since 2020 by outlining the measures undertaken at EU level to strengthen and promote EU citizenship rights, common values and democratic participation. </w:t>
      </w:r>
      <w:r w:rsidR="007E167A">
        <w:rPr>
          <w:rFonts w:ascii="Times New Roman" w:hAnsi="Times New Roman"/>
          <w:noProof/>
          <w:sz w:val="24"/>
          <w:szCs w:val="24"/>
          <w:lang w:val="en-IE"/>
        </w:rPr>
        <w:t>It</w:t>
      </w:r>
      <w:r w:rsidRPr="00BD00A9">
        <w:rPr>
          <w:rFonts w:ascii="Times New Roman" w:hAnsi="Times New Roman"/>
          <w:noProof/>
          <w:sz w:val="24"/>
          <w:szCs w:val="24"/>
          <w:lang w:val="en-IE"/>
        </w:rPr>
        <w:t xml:space="preserve"> draws on the issues that citizens and other stakeholders raised in their letters</w:t>
      </w:r>
      <w:r w:rsidR="007E167A">
        <w:rPr>
          <w:rFonts w:ascii="Times New Roman" w:hAnsi="Times New Roman"/>
          <w:noProof/>
          <w:sz w:val="24"/>
          <w:szCs w:val="24"/>
          <w:lang w:val="en-IE"/>
        </w:rPr>
        <w:t xml:space="preserve">, </w:t>
      </w:r>
      <w:r w:rsidRPr="00BD00A9">
        <w:rPr>
          <w:rFonts w:ascii="Times New Roman" w:hAnsi="Times New Roman"/>
          <w:noProof/>
          <w:sz w:val="24"/>
          <w:szCs w:val="24"/>
          <w:lang w:val="en-IE"/>
        </w:rPr>
        <w:t>complaints and during meetings with the Commission</w:t>
      </w:r>
      <w:r w:rsidR="007E167A">
        <w:rPr>
          <w:rFonts w:ascii="Times New Roman" w:hAnsi="Times New Roman"/>
          <w:noProof/>
          <w:sz w:val="24"/>
          <w:szCs w:val="24"/>
          <w:lang w:val="en-IE"/>
        </w:rPr>
        <w:t xml:space="preserve"> as well as</w:t>
      </w:r>
      <w:r w:rsidRPr="00BD00A9">
        <w:rPr>
          <w:rFonts w:ascii="Times New Roman" w:hAnsi="Times New Roman"/>
          <w:noProof/>
          <w:sz w:val="24"/>
          <w:szCs w:val="24"/>
          <w:lang w:val="en-IE"/>
        </w:rPr>
        <w:t xml:space="preserve"> on the feedback received on the Commission’s Have Your Say Portal</w:t>
      </w:r>
      <w:r w:rsidRPr="00BD00A9">
        <w:rPr>
          <w:rStyle w:val="FootnoteReference"/>
          <w:rFonts w:ascii="Times New Roman" w:hAnsi="Times New Roman"/>
          <w:noProof/>
          <w:sz w:val="24"/>
          <w:szCs w:val="24"/>
          <w:lang w:val="en-IE"/>
        </w:rPr>
        <w:footnoteReference w:id="5"/>
      </w:r>
      <w:r w:rsidRPr="00BD00A9">
        <w:rPr>
          <w:rFonts w:ascii="Times New Roman" w:hAnsi="Times New Roman"/>
          <w:noProof/>
          <w:sz w:val="24"/>
          <w:szCs w:val="24"/>
          <w:lang w:val="en-IE"/>
        </w:rPr>
        <w:t>.</w:t>
      </w:r>
    </w:p>
    <w:p w14:paraId="45329F8B" w14:textId="1100EF2D" w:rsidR="00730647" w:rsidRPr="00BD00A9" w:rsidRDefault="00730647" w:rsidP="00730647">
      <w:pPr>
        <w:spacing w:after="240" w:line="276" w:lineRule="auto"/>
        <w:jc w:val="both"/>
        <w:rPr>
          <w:rFonts w:ascii="Times New Roman" w:hAnsi="Times New Roman"/>
          <w:noProof/>
          <w:sz w:val="24"/>
          <w:szCs w:val="24"/>
          <w:lang w:val="en-IE"/>
        </w:rPr>
      </w:pPr>
      <w:r w:rsidRPr="00BD00A9">
        <w:rPr>
          <w:rFonts w:ascii="Times New Roman" w:hAnsi="Times New Roman"/>
          <w:noProof/>
          <w:sz w:val="24"/>
          <w:szCs w:val="24"/>
          <w:lang w:val="en-IE"/>
        </w:rPr>
        <w:t xml:space="preserve">An overview of the </w:t>
      </w:r>
      <w:r w:rsidR="007E167A">
        <w:rPr>
          <w:rFonts w:ascii="Times New Roman" w:hAnsi="Times New Roman"/>
          <w:noProof/>
          <w:sz w:val="24"/>
          <w:szCs w:val="24"/>
          <w:lang w:val="en-IE"/>
        </w:rPr>
        <w:t xml:space="preserve">progress of the </w:t>
      </w:r>
      <w:r w:rsidRPr="00BD00A9">
        <w:rPr>
          <w:rFonts w:ascii="Times New Roman" w:hAnsi="Times New Roman"/>
          <w:noProof/>
          <w:sz w:val="24"/>
          <w:szCs w:val="24"/>
          <w:lang w:val="en-IE"/>
        </w:rPr>
        <w:t xml:space="preserve">implementation of the specific priority actions announced in the </w:t>
      </w:r>
      <w:r w:rsidR="0028177C" w:rsidRPr="00BD00A9">
        <w:rPr>
          <w:rFonts w:ascii="Times New Roman" w:hAnsi="Times New Roman"/>
          <w:noProof/>
          <w:sz w:val="24"/>
          <w:szCs w:val="24"/>
          <w:lang w:val="en-IE"/>
        </w:rPr>
        <w:t>‘</w:t>
      </w:r>
      <w:r w:rsidRPr="00BD00A9">
        <w:rPr>
          <w:rFonts w:ascii="Times New Roman" w:hAnsi="Times New Roman"/>
          <w:noProof/>
          <w:sz w:val="24"/>
          <w:szCs w:val="24"/>
          <w:lang w:val="en-IE"/>
        </w:rPr>
        <w:t>EU Citizenship Report 2020</w:t>
      </w:r>
      <w:r w:rsidR="0028177C" w:rsidRPr="00BD00A9">
        <w:rPr>
          <w:rFonts w:ascii="Times New Roman" w:hAnsi="Times New Roman"/>
          <w:noProof/>
          <w:sz w:val="24"/>
          <w:szCs w:val="24"/>
          <w:lang w:val="en-IE"/>
        </w:rPr>
        <w:t>’</w:t>
      </w:r>
      <w:r w:rsidRPr="00BD00A9">
        <w:rPr>
          <w:rFonts w:ascii="Times New Roman" w:hAnsi="Times New Roman"/>
          <w:noProof/>
          <w:sz w:val="24"/>
          <w:szCs w:val="24"/>
          <w:lang w:val="en-IE"/>
        </w:rPr>
        <w:t xml:space="preserve"> Communication</w:t>
      </w:r>
      <w:r w:rsidRPr="00BD00A9">
        <w:rPr>
          <w:rStyle w:val="FootnoteReference"/>
          <w:rFonts w:ascii="Times New Roman" w:hAnsi="Times New Roman"/>
          <w:noProof/>
          <w:sz w:val="24"/>
          <w:szCs w:val="24"/>
          <w:lang w:val="en-IE"/>
        </w:rPr>
        <w:footnoteReference w:id="6"/>
      </w:r>
      <w:r w:rsidRPr="00BD00A9">
        <w:rPr>
          <w:rFonts w:ascii="Times New Roman" w:hAnsi="Times New Roman"/>
          <w:noProof/>
          <w:sz w:val="24"/>
          <w:szCs w:val="24"/>
          <w:lang w:val="en-IE"/>
        </w:rPr>
        <w:t xml:space="preserve"> for 2020-2022 can be found in Annex I. </w:t>
      </w:r>
    </w:p>
    <w:p w14:paraId="59C4B2C9" w14:textId="40EA8D04" w:rsidR="00730647" w:rsidRPr="00BD00A9" w:rsidRDefault="00730647" w:rsidP="00C01BAD">
      <w:pPr>
        <w:spacing w:after="240" w:line="276" w:lineRule="auto"/>
        <w:jc w:val="both"/>
        <w:rPr>
          <w:rFonts w:ascii="Times New Roman" w:hAnsi="Times New Roman"/>
          <w:noProof/>
          <w:sz w:val="24"/>
          <w:szCs w:val="24"/>
          <w:lang w:val="en-IE"/>
        </w:rPr>
      </w:pPr>
      <w:r w:rsidRPr="00BD00A9">
        <w:rPr>
          <w:rFonts w:ascii="Times New Roman" w:hAnsi="Times New Roman"/>
          <w:noProof/>
          <w:sz w:val="24"/>
          <w:szCs w:val="24"/>
          <w:lang w:val="en-IE"/>
        </w:rPr>
        <w:t>The report also sets out the main legal developments</w:t>
      </w:r>
      <w:r w:rsidR="004C374D" w:rsidRPr="00BD00A9">
        <w:rPr>
          <w:rFonts w:ascii="Times New Roman" w:hAnsi="Times New Roman"/>
          <w:noProof/>
          <w:sz w:val="24"/>
          <w:szCs w:val="24"/>
          <w:lang w:val="en-IE"/>
        </w:rPr>
        <w:t>, including the</w:t>
      </w:r>
      <w:r w:rsidRPr="00BD00A9">
        <w:rPr>
          <w:rFonts w:ascii="Times New Roman" w:hAnsi="Times New Roman"/>
          <w:noProof/>
          <w:sz w:val="24"/>
          <w:szCs w:val="24"/>
          <w:lang w:val="en-IE"/>
        </w:rPr>
        <w:t xml:space="preserve"> most relevant </w:t>
      </w:r>
      <w:r w:rsidR="004C374D" w:rsidRPr="00BD00A9">
        <w:rPr>
          <w:rFonts w:ascii="Times New Roman" w:hAnsi="Times New Roman"/>
          <w:noProof/>
          <w:sz w:val="24"/>
          <w:szCs w:val="24"/>
          <w:lang w:val="en-IE"/>
        </w:rPr>
        <w:t>judgments</w:t>
      </w:r>
      <w:r w:rsidR="0028177C" w:rsidRPr="00BD00A9">
        <w:rPr>
          <w:rFonts w:ascii="Times New Roman" w:hAnsi="Times New Roman"/>
          <w:noProof/>
          <w:sz w:val="24"/>
          <w:szCs w:val="24"/>
          <w:lang w:val="en-IE"/>
        </w:rPr>
        <w:t xml:space="preserve"> of the </w:t>
      </w:r>
      <w:r w:rsidRPr="00BD00A9">
        <w:rPr>
          <w:rFonts w:ascii="Times New Roman" w:hAnsi="Times New Roman"/>
          <w:noProof/>
          <w:sz w:val="24"/>
          <w:szCs w:val="24"/>
          <w:lang w:val="en-IE"/>
        </w:rPr>
        <w:t>Court of Justice of the European Union</w:t>
      </w:r>
      <w:r w:rsidRPr="00BD00A9">
        <w:rPr>
          <w:rFonts w:ascii="Times New Roman" w:eastAsiaTheme="minorEastAsia" w:hAnsi="Times New Roman"/>
          <w:noProof/>
          <w:sz w:val="24"/>
          <w:szCs w:val="24"/>
          <w:lang w:val="en-IE" w:eastAsia="zh-CN"/>
        </w:rPr>
        <w:t xml:space="preserve"> (the ‘Court’)</w:t>
      </w:r>
      <w:r w:rsidRPr="00BD00A9">
        <w:rPr>
          <w:rFonts w:ascii="Times New Roman" w:hAnsi="Times New Roman"/>
          <w:noProof/>
          <w:sz w:val="24"/>
          <w:szCs w:val="24"/>
          <w:lang w:val="en-IE"/>
        </w:rPr>
        <w:t xml:space="preserve"> in this area. An overview of all relevant case law of the Court can be found in Annex II.</w:t>
      </w:r>
    </w:p>
    <w:p w14:paraId="4B9835D6" w14:textId="5B5BD2F4" w:rsidR="00730647" w:rsidRPr="00BD00A9" w:rsidRDefault="00730647" w:rsidP="003D0BDC">
      <w:pPr>
        <w:pStyle w:val="Heading1"/>
      </w:pPr>
      <w:bookmarkStart w:id="6" w:name="_Toc150854699"/>
      <w:bookmarkStart w:id="7" w:name="_Toc152502480"/>
      <w:r w:rsidRPr="00BD00A9">
        <w:t>Citizenship Package</w:t>
      </w:r>
      <w:bookmarkEnd w:id="6"/>
      <w:bookmarkEnd w:id="7"/>
    </w:p>
    <w:p w14:paraId="6ECAE789" w14:textId="0130A601" w:rsidR="00730647" w:rsidRPr="00BD00A9" w:rsidRDefault="5D2492EE" w:rsidP="00950B45">
      <w:pPr>
        <w:spacing w:after="240" w:line="276" w:lineRule="auto"/>
        <w:jc w:val="both"/>
        <w:rPr>
          <w:rFonts w:ascii="Times New Roman" w:hAnsi="Times New Roman"/>
          <w:noProof/>
          <w:sz w:val="24"/>
          <w:szCs w:val="24"/>
          <w:lang w:val="en-IE"/>
        </w:rPr>
      </w:pPr>
      <w:r w:rsidRPr="00BD00A9">
        <w:rPr>
          <w:rFonts w:ascii="Times New Roman" w:hAnsi="Times New Roman"/>
          <w:noProof/>
          <w:sz w:val="24"/>
          <w:szCs w:val="24"/>
          <w:lang w:val="en-IE"/>
        </w:rPr>
        <w:t xml:space="preserve">Strengthening </w:t>
      </w:r>
      <w:r w:rsidR="00C01BAD" w:rsidRPr="00BD00A9">
        <w:rPr>
          <w:rFonts w:ascii="Times New Roman" w:hAnsi="Times New Roman"/>
          <w:noProof/>
          <w:sz w:val="24"/>
          <w:szCs w:val="24"/>
          <w:lang w:val="en-IE"/>
        </w:rPr>
        <w:t>EU citizenship</w:t>
      </w:r>
      <w:r w:rsidRPr="00BD00A9">
        <w:rPr>
          <w:rFonts w:ascii="Times New Roman" w:hAnsi="Times New Roman"/>
          <w:noProof/>
          <w:sz w:val="24"/>
          <w:szCs w:val="24"/>
          <w:lang w:val="en-IE"/>
        </w:rPr>
        <w:t xml:space="preserve"> rights reflects the commitments made in the </w:t>
      </w:r>
      <w:r w:rsidR="0028177C" w:rsidRPr="00BD00A9">
        <w:rPr>
          <w:rFonts w:ascii="Times New Roman" w:hAnsi="Times New Roman"/>
          <w:noProof/>
          <w:sz w:val="24"/>
          <w:szCs w:val="24"/>
          <w:lang w:val="en-IE"/>
        </w:rPr>
        <w:t xml:space="preserve">European </w:t>
      </w:r>
      <w:r w:rsidR="0C9DB3F0" w:rsidRPr="00BD00A9">
        <w:rPr>
          <w:rFonts w:ascii="Times New Roman" w:hAnsi="Times New Roman"/>
          <w:noProof/>
          <w:sz w:val="24"/>
          <w:szCs w:val="24"/>
          <w:lang w:val="en-IE"/>
        </w:rPr>
        <w:t xml:space="preserve">Commission </w:t>
      </w:r>
      <w:r w:rsidRPr="00BD00A9">
        <w:rPr>
          <w:rFonts w:ascii="Times New Roman" w:hAnsi="Times New Roman"/>
          <w:noProof/>
          <w:sz w:val="24"/>
          <w:szCs w:val="24"/>
          <w:lang w:val="en-IE"/>
        </w:rPr>
        <w:t>President’s guidelines for the 2019-2024 Commission</w:t>
      </w:r>
      <w:r w:rsidR="00434E6D" w:rsidRPr="00BD00A9">
        <w:rPr>
          <w:rStyle w:val="FootnoteReference"/>
          <w:rFonts w:ascii="Times New Roman" w:hAnsi="Times New Roman"/>
          <w:noProof/>
          <w:sz w:val="24"/>
          <w:szCs w:val="24"/>
          <w:lang w:val="en-IE"/>
        </w:rPr>
        <w:footnoteReference w:id="7"/>
      </w:r>
      <w:r w:rsidRPr="00BD00A9">
        <w:rPr>
          <w:rFonts w:ascii="Times New Roman" w:hAnsi="Times New Roman"/>
          <w:noProof/>
          <w:sz w:val="24"/>
          <w:szCs w:val="24"/>
          <w:lang w:val="en-IE"/>
        </w:rPr>
        <w:t xml:space="preserve">, in particular the commitment to strive for more in nurturing, protecting and strengthening our democracy. </w:t>
      </w:r>
      <w:r w:rsidR="00DC70E1" w:rsidRPr="00BD00A9">
        <w:rPr>
          <w:rFonts w:ascii="Times New Roman" w:hAnsi="Times New Roman"/>
          <w:noProof/>
          <w:sz w:val="24"/>
          <w:szCs w:val="24"/>
          <w:lang w:val="en-IE"/>
        </w:rPr>
        <w:t xml:space="preserve">Since 2020, the Commission has put forward several new </w:t>
      </w:r>
      <w:r w:rsidR="0028177C" w:rsidRPr="00BD00A9">
        <w:rPr>
          <w:rFonts w:ascii="Times New Roman" w:hAnsi="Times New Roman"/>
          <w:noProof/>
          <w:sz w:val="24"/>
          <w:szCs w:val="24"/>
          <w:lang w:val="en-IE"/>
        </w:rPr>
        <w:t>measures</w:t>
      </w:r>
      <w:r w:rsidR="00DC70E1" w:rsidRPr="00BD00A9">
        <w:rPr>
          <w:rFonts w:ascii="Times New Roman" w:hAnsi="Times New Roman"/>
          <w:noProof/>
          <w:sz w:val="24"/>
          <w:szCs w:val="24"/>
          <w:lang w:val="en-IE"/>
        </w:rPr>
        <w:t xml:space="preserve"> to advance EU citizenship rights, which are outlined in this report.</w:t>
      </w:r>
    </w:p>
    <w:p w14:paraId="533830D8" w14:textId="798F08E9" w:rsidR="007E167A" w:rsidRDefault="00730647" w:rsidP="00730647">
      <w:pPr>
        <w:spacing w:after="240" w:line="276" w:lineRule="auto"/>
        <w:jc w:val="both"/>
        <w:rPr>
          <w:rFonts w:ascii="Times New Roman" w:eastAsiaTheme="minorEastAsia" w:hAnsi="Times New Roman"/>
          <w:noProof/>
          <w:sz w:val="24"/>
          <w:szCs w:val="24"/>
          <w:lang w:val="en-IE" w:eastAsia="zh-CN"/>
        </w:rPr>
      </w:pPr>
      <w:r w:rsidRPr="00BD00A9">
        <w:rPr>
          <w:rFonts w:ascii="Times New Roman" w:eastAsiaTheme="minorEastAsia" w:hAnsi="Times New Roman"/>
          <w:noProof/>
          <w:sz w:val="24"/>
          <w:szCs w:val="24"/>
          <w:lang w:val="en-IE" w:eastAsia="zh-CN"/>
        </w:rPr>
        <w:t>The 30</w:t>
      </w:r>
      <w:r w:rsidRPr="00BD00A9">
        <w:rPr>
          <w:rFonts w:ascii="Times New Roman" w:eastAsiaTheme="minorEastAsia" w:hAnsi="Times New Roman"/>
          <w:noProof/>
          <w:sz w:val="24"/>
          <w:szCs w:val="24"/>
          <w:vertAlign w:val="superscript"/>
          <w:lang w:val="en-IE" w:eastAsia="zh-CN"/>
        </w:rPr>
        <w:t>th</w:t>
      </w:r>
      <w:r w:rsidRPr="00BD00A9">
        <w:rPr>
          <w:rFonts w:ascii="Times New Roman" w:eastAsiaTheme="minorEastAsia" w:hAnsi="Times New Roman"/>
          <w:noProof/>
          <w:sz w:val="24"/>
          <w:szCs w:val="24"/>
          <w:lang w:val="en-IE" w:eastAsia="zh-CN"/>
        </w:rPr>
        <w:t xml:space="preserve"> anniversary of EU citizenship is a reminder of the importance of the rights it entails. The Commission is therefore presenting a Citizenship Package, intended to further advance EU citizenship rights </w:t>
      </w:r>
      <w:r w:rsidR="00614667" w:rsidRPr="00BD00A9">
        <w:rPr>
          <w:rFonts w:ascii="Times New Roman" w:eastAsiaTheme="minorEastAsia" w:hAnsi="Times New Roman"/>
          <w:noProof/>
          <w:sz w:val="24"/>
          <w:szCs w:val="24"/>
          <w:lang w:val="en-IE" w:eastAsia="zh-CN"/>
        </w:rPr>
        <w:t>and</w:t>
      </w:r>
      <w:r w:rsidR="001D0BFE" w:rsidRPr="00BD00A9">
        <w:rPr>
          <w:rFonts w:ascii="Times New Roman" w:eastAsiaTheme="minorEastAsia" w:hAnsi="Times New Roman"/>
          <w:noProof/>
          <w:sz w:val="24"/>
          <w:szCs w:val="24"/>
          <w:lang w:val="en-IE" w:eastAsia="zh-CN"/>
        </w:rPr>
        <w:t xml:space="preserve"> to </w:t>
      </w:r>
      <w:r w:rsidRPr="00BD00A9">
        <w:rPr>
          <w:rFonts w:ascii="Times New Roman" w:eastAsiaTheme="minorEastAsia" w:hAnsi="Times New Roman"/>
          <w:noProof/>
          <w:sz w:val="24"/>
          <w:szCs w:val="24"/>
          <w:lang w:val="en-IE" w:eastAsia="zh-CN"/>
        </w:rPr>
        <w:t xml:space="preserve">make them more tangible for EU citizens. </w:t>
      </w:r>
      <w:r w:rsidR="00614667" w:rsidRPr="00BD00A9">
        <w:rPr>
          <w:rFonts w:ascii="Times New Roman" w:eastAsiaTheme="minorEastAsia" w:hAnsi="Times New Roman"/>
          <w:noProof/>
          <w:sz w:val="24"/>
          <w:szCs w:val="24"/>
          <w:lang w:val="en-IE" w:eastAsia="zh-CN"/>
        </w:rPr>
        <w:t>In addition to this report, t</w:t>
      </w:r>
      <w:r w:rsidRPr="00BD00A9">
        <w:rPr>
          <w:rFonts w:ascii="Times New Roman" w:eastAsiaTheme="minorEastAsia" w:hAnsi="Times New Roman"/>
          <w:noProof/>
          <w:sz w:val="24"/>
          <w:szCs w:val="24"/>
          <w:lang w:val="en-IE" w:eastAsia="zh-CN"/>
        </w:rPr>
        <w:t>his Package includes</w:t>
      </w:r>
      <w:r w:rsidR="00614667" w:rsidRPr="00BD00A9">
        <w:rPr>
          <w:rFonts w:ascii="Times New Roman" w:eastAsiaTheme="minorEastAsia" w:hAnsi="Times New Roman"/>
          <w:noProof/>
          <w:sz w:val="24"/>
          <w:szCs w:val="24"/>
          <w:lang w:val="en-IE" w:eastAsia="zh-CN"/>
        </w:rPr>
        <w:t xml:space="preserve"> </w:t>
      </w:r>
      <w:r w:rsidR="006F3AE9" w:rsidRPr="00BD00A9">
        <w:rPr>
          <w:rFonts w:ascii="Times New Roman" w:eastAsiaTheme="minorEastAsia" w:hAnsi="Times New Roman"/>
          <w:noProof/>
          <w:sz w:val="24"/>
          <w:szCs w:val="24"/>
          <w:lang w:val="en-IE" w:eastAsia="zh-CN"/>
        </w:rPr>
        <w:t>the following measures</w:t>
      </w:r>
      <w:r w:rsidR="007E167A">
        <w:rPr>
          <w:rFonts w:ascii="Times New Roman" w:eastAsiaTheme="minorEastAsia" w:hAnsi="Times New Roman"/>
          <w:noProof/>
          <w:sz w:val="24"/>
          <w:szCs w:val="24"/>
          <w:lang w:val="en-IE" w:eastAsia="zh-CN"/>
        </w:rPr>
        <w:t>:</w:t>
      </w:r>
    </w:p>
    <w:p w14:paraId="54E3EAB9" w14:textId="0F0EA70A" w:rsidR="007E167A" w:rsidRDefault="007E167A" w:rsidP="00162966">
      <w:pPr>
        <w:pStyle w:val="ListParagraph"/>
        <w:numPr>
          <w:ilvl w:val="0"/>
          <w:numId w:val="19"/>
        </w:numPr>
        <w:spacing w:after="240" w:line="276" w:lineRule="auto"/>
        <w:jc w:val="both"/>
        <w:rPr>
          <w:rFonts w:ascii="Times New Roman" w:eastAsiaTheme="minorEastAsia" w:hAnsi="Times New Roman"/>
          <w:noProof/>
          <w:sz w:val="24"/>
          <w:szCs w:val="24"/>
          <w:lang w:val="en-IE" w:eastAsia="zh-CN"/>
        </w:rPr>
      </w:pPr>
      <w:r>
        <w:rPr>
          <w:rFonts w:ascii="Times New Roman" w:eastAsiaTheme="minorEastAsia" w:hAnsi="Times New Roman"/>
          <w:noProof/>
          <w:sz w:val="24"/>
          <w:szCs w:val="24"/>
          <w:lang w:val="en-IE" w:eastAsia="zh-CN"/>
        </w:rPr>
        <w:t>a revision of the Consular Protection Directive;</w:t>
      </w:r>
    </w:p>
    <w:p w14:paraId="3C8A814B" w14:textId="77777777" w:rsidR="007E167A" w:rsidRDefault="007E167A" w:rsidP="00162966">
      <w:pPr>
        <w:pStyle w:val="ListParagraph"/>
        <w:numPr>
          <w:ilvl w:val="0"/>
          <w:numId w:val="19"/>
        </w:numPr>
        <w:spacing w:after="240" w:line="276" w:lineRule="auto"/>
        <w:jc w:val="both"/>
        <w:rPr>
          <w:rFonts w:ascii="Times New Roman" w:eastAsiaTheme="minorEastAsia" w:hAnsi="Times New Roman"/>
          <w:noProof/>
          <w:sz w:val="24"/>
          <w:szCs w:val="24"/>
          <w:lang w:val="en-IE" w:eastAsia="zh-CN"/>
        </w:rPr>
      </w:pPr>
      <w:r>
        <w:rPr>
          <w:rFonts w:ascii="Times New Roman" w:eastAsiaTheme="minorEastAsia" w:hAnsi="Times New Roman"/>
          <w:noProof/>
          <w:sz w:val="24"/>
          <w:szCs w:val="24"/>
          <w:lang w:val="en-IE" w:eastAsia="zh-CN"/>
        </w:rPr>
        <w:t>an update of the 2009 guidance on free movement;</w:t>
      </w:r>
    </w:p>
    <w:p w14:paraId="7D60D431" w14:textId="1342A765" w:rsidR="007E167A" w:rsidRDefault="007E167A" w:rsidP="00162966">
      <w:pPr>
        <w:pStyle w:val="ListParagraph"/>
        <w:numPr>
          <w:ilvl w:val="0"/>
          <w:numId w:val="19"/>
        </w:numPr>
        <w:spacing w:after="240" w:line="276" w:lineRule="auto"/>
        <w:jc w:val="both"/>
        <w:rPr>
          <w:rFonts w:ascii="Times New Roman" w:eastAsiaTheme="minorEastAsia" w:hAnsi="Times New Roman"/>
          <w:noProof/>
          <w:sz w:val="24"/>
          <w:szCs w:val="24"/>
          <w:lang w:val="en-IE" w:eastAsia="zh-CN"/>
        </w:rPr>
      </w:pPr>
      <w:r>
        <w:rPr>
          <w:rFonts w:ascii="Times New Roman" w:eastAsiaTheme="minorEastAsia" w:hAnsi="Times New Roman"/>
          <w:noProof/>
          <w:sz w:val="24"/>
          <w:szCs w:val="24"/>
          <w:lang w:val="en-IE" w:eastAsia="zh-CN"/>
        </w:rPr>
        <w:t>a Guide to EU citizenship;</w:t>
      </w:r>
    </w:p>
    <w:p w14:paraId="457D1F3D" w14:textId="2DA94F8E" w:rsidR="007E167A" w:rsidRDefault="007E167A" w:rsidP="00162966">
      <w:pPr>
        <w:pStyle w:val="ListParagraph"/>
        <w:numPr>
          <w:ilvl w:val="0"/>
          <w:numId w:val="19"/>
        </w:numPr>
        <w:spacing w:after="240" w:line="276" w:lineRule="auto"/>
        <w:jc w:val="both"/>
        <w:rPr>
          <w:rFonts w:ascii="Times New Roman" w:eastAsiaTheme="minorEastAsia" w:hAnsi="Times New Roman"/>
          <w:noProof/>
          <w:sz w:val="24"/>
          <w:szCs w:val="24"/>
          <w:lang w:val="en-IE" w:eastAsia="zh-CN"/>
        </w:rPr>
      </w:pPr>
      <w:r>
        <w:rPr>
          <w:rFonts w:ascii="Times New Roman" w:eastAsiaTheme="minorEastAsia" w:hAnsi="Times New Roman"/>
          <w:noProof/>
          <w:sz w:val="24"/>
          <w:szCs w:val="24"/>
          <w:lang w:val="en-IE" w:eastAsia="zh-CN"/>
        </w:rPr>
        <w:t xml:space="preserve">a </w:t>
      </w:r>
      <w:r w:rsidRPr="005B0E7B">
        <w:rPr>
          <w:rFonts w:ascii="Times New Roman" w:eastAsiaTheme="minorEastAsia" w:hAnsi="Times New Roman"/>
          <w:noProof/>
          <w:sz w:val="24"/>
          <w:szCs w:val="24"/>
          <w:lang w:val="en-IE" w:eastAsia="zh-CN"/>
        </w:rPr>
        <w:t>Guide o</w:t>
      </w:r>
      <w:r w:rsidR="005A39A6">
        <w:rPr>
          <w:rFonts w:ascii="Times New Roman" w:eastAsiaTheme="minorEastAsia" w:hAnsi="Times New Roman"/>
          <w:noProof/>
          <w:sz w:val="24"/>
          <w:szCs w:val="24"/>
          <w:lang w:val="en-IE" w:eastAsia="zh-CN"/>
        </w:rPr>
        <w:t>f good electoral practices for</w:t>
      </w:r>
      <w:r w:rsidRPr="005A39A6">
        <w:rPr>
          <w:rFonts w:ascii="Times New Roman" w:eastAsiaTheme="minorEastAsia" w:hAnsi="Times New Roman"/>
          <w:noProof/>
          <w:sz w:val="24"/>
          <w:szCs w:val="24"/>
          <w:lang w:val="en-IE" w:eastAsia="zh-CN"/>
        </w:rPr>
        <w:t xml:space="preserve"> citizens with disabilities</w:t>
      </w:r>
      <w:r>
        <w:rPr>
          <w:rFonts w:ascii="Times New Roman" w:eastAsiaTheme="minorEastAsia" w:hAnsi="Times New Roman"/>
          <w:noProof/>
          <w:sz w:val="24"/>
          <w:szCs w:val="24"/>
          <w:lang w:val="en-IE" w:eastAsia="zh-CN"/>
        </w:rPr>
        <w:t>;</w:t>
      </w:r>
      <w:r w:rsidRPr="005A39A6">
        <w:rPr>
          <w:rFonts w:ascii="Times New Roman" w:eastAsiaTheme="minorEastAsia" w:hAnsi="Times New Roman"/>
          <w:noProof/>
          <w:sz w:val="24"/>
          <w:szCs w:val="24"/>
          <w:lang w:val="en-IE" w:eastAsia="zh-CN"/>
        </w:rPr>
        <w:t xml:space="preserve"> and </w:t>
      </w:r>
    </w:p>
    <w:p w14:paraId="7B2669E8" w14:textId="1FF367BD" w:rsidR="00432968" w:rsidRPr="005A39A6" w:rsidRDefault="007E167A" w:rsidP="005A39A6">
      <w:pPr>
        <w:pStyle w:val="ListParagraph"/>
        <w:numPr>
          <w:ilvl w:val="0"/>
          <w:numId w:val="19"/>
        </w:numPr>
        <w:spacing w:after="240" w:line="276" w:lineRule="auto"/>
        <w:jc w:val="both"/>
        <w:rPr>
          <w:rFonts w:ascii="Times New Roman" w:eastAsiaTheme="minorEastAsia" w:hAnsi="Times New Roman"/>
          <w:noProof/>
          <w:sz w:val="24"/>
          <w:szCs w:val="24"/>
          <w:lang w:val="en-IE" w:eastAsia="zh-CN"/>
        </w:rPr>
      </w:pPr>
      <w:r w:rsidRPr="005A39A6">
        <w:rPr>
          <w:rFonts w:ascii="Times New Roman" w:eastAsiaTheme="minorEastAsia" w:hAnsi="Times New Roman"/>
          <w:noProof/>
          <w:sz w:val="24"/>
          <w:szCs w:val="24"/>
          <w:lang w:val="en-IE" w:eastAsia="zh-CN"/>
        </w:rPr>
        <w:t xml:space="preserve">a Compendium of e-voting </w:t>
      </w:r>
      <w:r w:rsidR="00162966">
        <w:rPr>
          <w:rFonts w:ascii="Times New Roman" w:eastAsiaTheme="minorEastAsia" w:hAnsi="Times New Roman"/>
          <w:noProof/>
          <w:sz w:val="24"/>
          <w:szCs w:val="24"/>
          <w:lang w:val="en-IE" w:eastAsia="zh-CN"/>
        </w:rPr>
        <w:t xml:space="preserve">and other ICT </w:t>
      </w:r>
      <w:r w:rsidRPr="005A39A6">
        <w:rPr>
          <w:rFonts w:ascii="Times New Roman" w:eastAsiaTheme="minorEastAsia" w:hAnsi="Times New Roman"/>
          <w:noProof/>
          <w:sz w:val="24"/>
          <w:szCs w:val="24"/>
          <w:lang w:val="en-IE" w:eastAsia="zh-CN"/>
        </w:rPr>
        <w:t>practices</w:t>
      </w:r>
      <w:r>
        <w:rPr>
          <w:rFonts w:ascii="Times New Roman" w:eastAsiaTheme="minorEastAsia" w:hAnsi="Times New Roman"/>
          <w:noProof/>
          <w:sz w:val="24"/>
          <w:szCs w:val="24"/>
          <w:lang w:val="en-IE" w:eastAsia="zh-CN"/>
        </w:rPr>
        <w:t>.</w:t>
      </w:r>
    </w:p>
    <w:p w14:paraId="0519C4E0" w14:textId="3DCB8EC8" w:rsidR="00C34253" w:rsidRDefault="00C77D50" w:rsidP="00DC2760">
      <w:pPr>
        <w:spacing w:after="240" w:line="276" w:lineRule="auto"/>
        <w:jc w:val="both"/>
        <w:rPr>
          <w:rFonts w:ascii="Times New Roman" w:eastAsiaTheme="minorEastAsia" w:hAnsi="Times New Roman"/>
          <w:noProof/>
          <w:sz w:val="24"/>
          <w:szCs w:val="24"/>
          <w:lang w:val="en-IE" w:eastAsia="zh-CN"/>
        </w:rPr>
      </w:pPr>
      <w:bookmarkStart w:id="8" w:name="_Hlk151736073"/>
      <w:r w:rsidRPr="00BD00A9">
        <w:rPr>
          <w:rFonts w:ascii="Times New Roman" w:eastAsiaTheme="minorEastAsia" w:hAnsi="Times New Roman"/>
          <w:noProof/>
          <w:sz w:val="24"/>
          <w:szCs w:val="24"/>
          <w:lang w:val="en-IE" w:eastAsia="zh-CN"/>
        </w:rPr>
        <w:t xml:space="preserve">As announced in the </w:t>
      </w:r>
      <w:r w:rsidR="00614667" w:rsidRPr="00BD00A9">
        <w:rPr>
          <w:rFonts w:ascii="Times New Roman" w:eastAsiaTheme="minorEastAsia" w:hAnsi="Times New Roman"/>
          <w:noProof/>
          <w:sz w:val="24"/>
          <w:szCs w:val="24"/>
          <w:lang w:val="en-IE" w:eastAsia="zh-CN"/>
        </w:rPr>
        <w:t>‘</w:t>
      </w:r>
      <w:r w:rsidRPr="00BD00A9">
        <w:rPr>
          <w:rFonts w:ascii="Times New Roman" w:eastAsiaTheme="minorEastAsia" w:hAnsi="Times New Roman"/>
          <w:noProof/>
          <w:sz w:val="24"/>
          <w:szCs w:val="24"/>
          <w:lang w:val="en-IE" w:eastAsia="zh-CN"/>
        </w:rPr>
        <w:t>Citizenship Report 2020</w:t>
      </w:r>
      <w:r w:rsidR="00614667" w:rsidRPr="00BD00A9">
        <w:rPr>
          <w:rFonts w:ascii="Times New Roman" w:eastAsiaTheme="minorEastAsia" w:hAnsi="Times New Roman"/>
          <w:noProof/>
          <w:sz w:val="24"/>
          <w:szCs w:val="24"/>
          <w:lang w:val="en-IE" w:eastAsia="zh-CN"/>
        </w:rPr>
        <w:t>’</w:t>
      </w:r>
      <w:r w:rsidRPr="00BD00A9">
        <w:rPr>
          <w:rFonts w:ascii="Times New Roman" w:eastAsiaTheme="minorEastAsia" w:hAnsi="Times New Roman"/>
          <w:noProof/>
          <w:sz w:val="24"/>
          <w:szCs w:val="24"/>
          <w:lang w:val="en-IE" w:eastAsia="zh-CN"/>
        </w:rPr>
        <w:t xml:space="preserve"> Communication, the Commission </w:t>
      </w:r>
      <w:r w:rsidR="002E1AD5" w:rsidRPr="00BD00A9">
        <w:rPr>
          <w:rFonts w:ascii="Times New Roman" w:eastAsiaTheme="minorEastAsia" w:hAnsi="Times New Roman"/>
          <w:noProof/>
          <w:sz w:val="24"/>
          <w:szCs w:val="24"/>
          <w:lang w:val="en-IE" w:eastAsia="zh-CN"/>
        </w:rPr>
        <w:t>is adopting</w:t>
      </w:r>
      <w:r w:rsidRPr="00BD00A9">
        <w:rPr>
          <w:rFonts w:ascii="Times New Roman" w:eastAsiaTheme="minorEastAsia" w:hAnsi="Times New Roman"/>
          <w:noProof/>
          <w:sz w:val="24"/>
          <w:szCs w:val="24"/>
          <w:lang w:val="en-IE" w:eastAsia="zh-CN"/>
        </w:rPr>
        <w:t xml:space="preserve"> a </w:t>
      </w:r>
      <w:r w:rsidRPr="005A39A6">
        <w:rPr>
          <w:rFonts w:ascii="Times New Roman" w:eastAsiaTheme="minorEastAsia" w:hAnsi="Times New Roman"/>
          <w:b/>
          <w:bCs/>
          <w:noProof/>
          <w:sz w:val="24"/>
          <w:szCs w:val="24"/>
          <w:lang w:val="en-IE" w:eastAsia="zh-CN"/>
        </w:rPr>
        <w:t xml:space="preserve">proposal to amend the </w:t>
      </w:r>
      <w:r w:rsidRPr="005A39A6">
        <w:rPr>
          <w:rFonts w:ascii="Times New Roman" w:eastAsiaTheme="minorEastAsia" w:hAnsi="Times New Roman"/>
          <w:b/>
          <w:bCs/>
          <w:noProof/>
          <w:sz w:val="24"/>
          <w:szCs w:val="24"/>
          <w:lang w:eastAsia="zh-CN"/>
        </w:rPr>
        <w:t>Consular Protection Directive</w:t>
      </w:r>
      <w:r w:rsidRPr="00BD00A9">
        <w:rPr>
          <w:rStyle w:val="FootnoteReference"/>
          <w:rFonts w:ascii="Times New Roman" w:eastAsiaTheme="minorEastAsia" w:hAnsi="Times New Roman"/>
          <w:noProof/>
          <w:sz w:val="24"/>
          <w:szCs w:val="24"/>
          <w:lang w:eastAsia="zh-CN"/>
        </w:rPr>
        <w:footnoteReference w:id="8"/>
      </w:r>
      <w:r w:rsidRPr="00BD00A9">
        <w:rPr>
          <w:rFonts w:ascii="Times New Roman" w:eastAsiaTheme="minorEastAsia" w:hAnsi="Times New Roman"/>
          <w:noProof/>
          <w:sz w:val="24"/>
          <w:szCs w:val="24"/>
          <w:lang w:eastAsia="zh-CN"/>
        </w:rPr>
        <w:t xml:space="preserve"> to </w:t>
      </w:r>
      <w:r w:rsidRPr="00BD00A9">
        <w:rPr>
          <w:rFonts w:ascii="Times New Roman" w:eastAsiaTheme="minorEastAsia" w:hAnsi="Times New Roman"/>
          <w:noProof/>
          <w:sz w:val="24"/>
          <w:szCs w:val="24"/>
          <w:lang w:val="en-IE" w:eastAsia="zh-CN"/>
        </w:rPr>
        <w:t>strengthen the right of EU citizens to consular protection, especially in crisis situations</w:t>
      </w:r>
      <w:r w:rsidRPr="00BD00A9">
        <w:rPr>
          <w:rStyle w:val="FootnoteReference"/>
          <w:rFonts w:ascii="Times New Roman" w:eastAsiaTheme="minorEastAsia" w:hAnsi="Times New Roman"/>
          <w:noProof/>
          <w:sz w:val="24"/>
          <w:szCs w:val="24"/>
          <w:lang w:val="en-IE" w:eastAsia="zh-CN"/>
        </w:rPr>
        <w:footnoteReference w:id="9"/>
      </w:r>
      <w:r w:rsidRPr="00BD00A9">
        <w:rPr>
          <w:rFonts w:ascii="Times New Roman" w:eastAsiaTheme="minorEastAsia" w:hAnsi="Times New Roman"/>
          <w:noProof/>
          <w:sz w:val="24"/>
          <w:szCs w:val="24"/>
          <w:lang w:val="en-IE" w:eastAsia="zh-CN"/>
        </w:rPr>
        <w:t xml:space="preserve">. This proposal draws on recent experiences, </w:t>
      </w:r>
      <w:r w:rsidR="00432968">
        <w:rPr>
          <w:rFonts w:ascii="Times New Roman" w:eastAsiaTheme="minorEastAsia" w:hAnsi="Times New Roman"/>
          <w:noProof/>
          <w:sz w:val="24"/>
          <w:szCs w:val="24"/>
          <w:lang w:val="en-IE" w:eastAsia="zh-CN"/>
        </w:rPr>
        <w:t>such as the repatriations during the</w:t>
      </w:r>
      <w:r w:rsidRPr="00BD00A9">
        <w:rPr>
          <w:rFonts w:ascii="Times New Roman" w:eastAsiaTheme="minorEastAsia" w:hAnsi="Times New Roman"/>
          <w:noProof/>
          <w:sz w:val="24"/>
          <w:szCs w:val="24"/>
          <w:lang w:val="en-IE" w:eastAsia="zh-CN"/>
        </w:rPr>
        <w:t xml:space="preserve"> COVID-19 pandemic, Russia’s war of aggression against Ukraine, and the </w:t>
      </w:r>
      <w:r w:rsidR="00432968">
        <w:rPr>
          <w:rFonts w:ascii="Times New Roman" w:eastAsiaTheme="minorEastAsia" w:hAnsi="Times New Roman"/>
          <w:noProof/>
          <w:sz w:val="24"/>
          <w:szCs w:val="24"/>
          <w:lang w:val="en-IE" w:eastAsia="zh-CN"/>
        </w:rPr>
        <w:t>evacuation</w:t>
      </w:r>
      <w:r w:rsidRPr="00BD00A9">
        <w:rPr>
          <w:rFonts w:ascii="Times New Roman" w:eastAsiaTheme="minorEastAsia" w:hAnsi="Times New Roman"/>
          <w:noProof/>
          <w:sz w:val="24"/>
          <w:szCs w:val="24"/>
          <w:lang w:val="en-IE" w:eastAsia="zh-CN"/>
        </w:rPr>
        <w:t xml:space="preserve"> of EU citizens from Afghanistan</w:t>
      </w:r>
      <w:r w:rsidR="00432968">
        <w:rPr>
          <w:rFonts w:ascii="Times New Roman" w:eastAsiaTheme="minorEastAsia" w:hAnsi="Times New Roman"/>
          <w:noProof/>
          <w:sz w:val="24"/>
          <w:szCs w:val="24"/>
          <w:lang w:val="en-IE" w:eastAsia="zh-CN"/>
        </w:rPr>
        <w:t xml:space="preserve">, </w:t>
      </w:r>
      <w:r w:rsidRPr="00BD00A9">
        <w:rPr>
          <w:rFonts w:ascii="Times New Roman" w:eastAsiaTheme="minorEastAsia" w:hAnsi="Times New Roman"/>
          <w:noProof/>
          <w:sz w:val="24"/>
          <w:szCs w:val="24"/>
          <w:lang w:val="en-IE" w:eastAsia="zh-CN"/>
        </w:rPr>
        <w:t>Sudan</w:t>
      </w:r>
      <w:r w:rsidR="00432968">
        <w:rPr>
          <w:rFonts w:ascii="Times New Roman" w:eastAsiaTheme="minorEastAsia" w:hAnsi="Times New Roman"/>
          <w:noProof/>
          <w:sz w:val="24"/>
          <w:szCs w:val="24"/>
          <w:lang w:val="en-IE" w:eastAsia="zh-CN"/>
        </w:rPr>
        <w:t>, and recently from Israel and Gaza</w:t>
      </w:r>
      <w:r w:rsidRPr="00BD00A9">
        <w:rPr>
          <w:rFonts w:ascii="Times New Roman" w:eastAsiaTheme="minorEastAsia" w:hAnsi="Times New Roman"/>
          <w:noProof/>
          <w:sz w:val="24"/>
          <w:szCs w:val="24"/>
          <w:lang w:val="en-IE" w:eastAsia="zh-CN"/>
        </w:rPr>
        <w:t>.</w:t>
      </w:r>
      <w:r w:rsidR="00355780" w:rsidRPr="00BD00A9">
        <w:rPr>
          <w:rFonts w:ascii="Times New Roman" w:eastAsiaTheme="minorEastAsia" w:hAnsi="Times New Roman"/>
          <w:noProof/>
          <w:sz w:val="24"/>
          <w:szCs w:val="24"/>
          <w:lang w:val="en-IE" w:eastAsia="zh-CN"/>
        </w:rPr>
        <w:t xml:space="preserve"> </w:t>
      </w:r>
      <w:r w:rsidR="00C34253" w:rsidRPr="00C34253">
        <w:rPr>
          <w:rFonts w:ascii="Times New Roman" w:eastAsiaTheme="minorEastAsia" w:hAnsi="Times New Roman"/>
          <w:noProof/>
          <w:sz w:val="24"/>
          <w:szCs w:val="24"/>
          <w:lang w:val="en-GB" w:eastAsia="zh-CN"/>
        </w:rPr>
        <w:t>The proposed changes seek to ensure that EU citizen</w:t>
      </w:r>
      <w:r w:rsidR="003833F9">
        <w:rPr>
          <w:rFonts w:ascii="Times New Roman" w:eastAsiaTheme="minorEastAsia" w:hAnsi="Times New Roman"/>
          <w:noProof/>
          <w:sz w:val="24"/>
          <w:szCs w:val="24"/>
          <w:lang w:val="en-GB" w:eastAsia="zh-CN"/>
        </w:rPr>
        <w:t>s</w:t>
      </w:r>
      <w:r w:rsidR="00C34253" w:rsidRPr="00C34253">
        <w:rPr>
          <w:rFonts w:ascii="Times New Roman" w:eastAsiaTheme="minorEastAsia" w:hAnsi="Times New Roman"/>
          <w:noProof/>
          <w:sz w:val="24"/>
          <w:szCs w:val="24"/>
          <w:lang w:val="en-GB" w:eastAsia="zh-CN"/>
        </w:rPr>
        <w:t xml:space="preserve"> continue to benefit from EU solidarity when they need help in a country outside the EU where their EU country of nationality does not have a consulate or embassy</w:t>
      </w:r>
      <w:r w:rsidR="00C34253">
        <w:rPr>
          <w:rFonts w:ascii="Times New Roman" w:eastAsiaTheme="minorEastAsia" w:hAnsi="Times New Roman"/>
          <w:noProof/>
          <w:sz w:val="24"/>
          <w:szCs w:val="24"/>
          <w:lang w:val="en-GB" w:eastAsia="zh-CN"/>
        </w:rPr>
        <w:t xml:space="preserve">, for example due to an accident, serious illness, being victim of a crime or loss of travel documents. </w:t>
      </w:r>
      <w:r w:rsidR="00C34253">
        <w:rPr>
          <w:rFonts w:ascii="Times New Roman" w:eastAsiaTheme="minorEastAsia" w:hAnsi="Times New Roman"/>
          <w:noProof/>
          <w:sz w:val="24"/>
          <w:szCs w:val="24"/>
          <w:lang w:val="en-IE" w:eastAsia="zh-CN"/>
        </w:rPr>
        <w:t>T</w:t>
      </w:r>
      <w:r w:rsidR="00C34253" w:rsidRPr="00C34253">
        <w:rPr>
          <w:rFonts w:ascii="Times New Roman" w:eastAsiaTheme="minorEastAsia" w:hAnsi="Times New Roman"/>
          <w:noProof/>
          <w:sz w:val="24"/>
          <w:szCs w:val="24"/>
          <w:lang w:val="en-IE" w:eastAsia="zh-CN"/>
        </w:rPr>
        <w:t xml:space="preserve">he Commission </w:t>
      </w:r>
      <w:r w:rsidR="00C34253">
        <w:rPr>
          <w:rFonts w:ascii="Times New Roman" w:eastAsiaTheme="minorEastAsia" w:hAnsi="Times New Roman"/>
          <w:noProof/>
          <w:sz w:val="24"/>
          <w:szCs w:val="24"/>
          <w:lang w:val="en-IE" w:eastAsia="zh-CN"/>
        </w:rPr>
        <w:t xml:space="preserve">also </w:t>
      </w:r>
      <w:r w:rsidR="00C34253" w:rsidRPr="00C34253">
        <w:rPr>
          <w:rFonts w:ascii="Times New Roman" w:eastAsiaTheme="minorEastAsia" w:hAnsi="Times New Roman"/>
          <w:noProof/>
          <w:sz w:val="24"/>
          <w:szCs w:val="24"/>
          <w:lang w:val="en-IE" w:eastAsia="zh-CN"/>
        </w:rPr>
        <w:t>proposes</w:t>
      </w:r>
      <w:r w:rsidR="00C34253">
        <w:rPr>
          <w:rFonts w:ascii="Times New Roman" w:eastAsiaTheme="minorEastAsia" w:hAnsi="Times New Roman"/>
          <w:noProof/>
          <w:sz w:val="24"/>
          <w:szCs w:val="24"/>
          <w:lang w:val="en-IE" w:eastAsia="zh-CN"/>
        </w:rPr>
        <w:t xml:space="preserve"> to</w:t>
      </w:r>
      <w:r w:rsidR="00C34253" w:rsidRPr="00C34253">
        <w:rPr>
          <w:rFonts w:ascii="Times New Roman" w:eastAsiaTheme="minorEastAsia" w:hAnsi="Times New Roman"/>
          <w:noProof/>
          <w:sz w:val="24"/>
          <w:szCs w:val="24"/>
          <w:lang w:val="en-IE" w:eastAsia="zh-CN"/>
        </w:rPr>
        <w:t xml:space="preserve"> </w:t>
      </w:r>
      <w:r w:rsidR="00C34253" w:rsidRPr="00BD00A9">
        <w:rPr>
          <w:rFonts w:ascii="Times New Roman" w:eastAsiaTheme="minorEastAsia" w:hAnsi="Times New Roman"/>
          <w:noProof/>
          <w:sz w:val="24"/>
          <w:szCs w:val="24"/>
          <w:lang w:val="en-IE" w:eastAsia="zh-CN"/>
        </w:rPr>
        <w:t xml:space="preserve">improve the preparedness and capacity to respond to crises </w:t>
      </w:r>
      <w:r w:rsidR="00C34253">
        <w:rPr>
          <w:rFonts w:ascii="Times New Roman" w:eastAsiaTheme="minorEastAsia" w:hAnsi="Times New Roman"/>
          <w:noProof/>
          <w:sz w:val="24"/>
          <w:szCs w:val="24"/>
          <w:lang w:val="en-IE" w:eastAsia="zh-CN"/>
        </w:rPr>
        <w:t>situations, in particular by making</w:t>
      </w:r>
      <w:r w:rsidR="00C34253" w:rsidRPr="00C34253">
        <w:rPr>
          <w:rFonts w:ascii="Times New Roman" w:eastAsiaTheme="minorEastAsia" w:hAnsi="Times New Roman"/>
          <w:noProof/>
          <w:sz w:val="24"/>
          <w:szCs w:val="24"/>
          <w:lang w:val="en-IE" w:eastAsia="zh-CN"/>
        </w:rPr>
        <w:t xml:space="preserve"> best use of the EU’s global network of EU delegations.</w:t>
      </w:r>
    </w:p>
    <w:bookmarkEnd w:id="8"/>
    <w:p w14:paraId="36197022" w14:textId="494B6432" w:rsidR="00C77D50" w:rsidRPr="00BD00A9" w:rsidRDefault="00326290" w:rsidP="00DC2760">
      <w:pPr>
        <w:spacing w:after="240" w:line="276" w:lineRule="auto"/>
        <w:jc w:val="both"/>
        <w:rPr>
          <w:rFonts w:ascii="Times New Roman" w:hAnsi="Times New Roman"/>
          <w:noProof/>
          <w:sz w:val="24"/>
          <w:szCs w:val="24"/>
          <w:lang w:val="en-GB"/>
        </w:rPr>
      </w:pPr>
      <w:r w:rsidRPr="00BD00A9">
        <w:rPr>
          <w:rFonts w:ascii="Times New Roman" w:hAnsi="Times New Roman"/>
          <w:noProof/>
          <w:sz w:val="24"/>
          <w:szCs w:val="24"/>
          <w:lang w:val="en-GB"/>
        </w:rPr>
        <w:t>T</w:t>
      </w:r>
      <w:r w:rsidR="00C77D50" w:rsidRPr="00BD00A9">
        <w:rPr>
          <w:rFonts w:ascii="Times New Roman" w:hAnsi="Times New Roman"/>
          <w:noProof/>
          <w:sz w:val="24"/>
          <w:szCs w:val="24"/>
          <w:lang w:val="en-GB"/>
        </w:rPr>
        <w:t xml:space="preserve">he Commission is </w:t>
      </w:r>
      <w:r w:rsidR="00C77D50" w:rsidRPr="005A39A6">
        <w:rPr>
          <w:rFonts w:ascii="Times New Roman" w:hAnsi="Times New Roman"/>
          <w:b/>
          <w:bCs/>
          <w:noProof/>
          <w:sz w:val="24"/>
          <w:szCs w:val="24"/>
          <w:lang w:val="en-GB"/>
        </w:rPr>
        <w:t xml:space="preserve">updating </w:t>
      </w:r>
      <w:r w:rsidR="004C374D" w:rsidRPr="005A39A6">
        <w:rPr>
          <w:rFonts w:ascii="Times New Roman" w:hAnsi="Times New Roman"/>
          <w:b/>
          <w:bCs/>
          <w:noProof/>
          <w:sz w:val="24"/>
          <w:szCs w:val="24"/>
          <w:lang w:val="en-GB"/>
        </w:rPr>
        <w:t>its</w:t>
      </w:r>
      <w:r w:rsidR="00C77D50" w:rsidRPr="005A39A6">
        <w:rPr>
          <w:rFonts w:ascii="Times New Roman" w:hAnsi="Times New Roman"/>
          <w:b/>
          <w:bCs/>
          <w:noProof/>
          <w:sz w:val="24"/>
          <w:szCs w:val="24"/>
          <w:lang w:val="en-GB"/>
        </w:rPr>
        <w:t xml:space="preserve"> 2009 </w:t>
      </w:r>
      <w:r w:rsidR="004C374D" w:rsidRPr="005A39A6">
        <w:rPr>
          <w:rFonts w:ascii="Times New Roman" w:hAnsi="Times New Roman"/>
          <w:b/>
          <w:bCs/>
          <w:noProof/>
          <w:sz w:val="24"/>
          <w:szCs w:val="24"/>
          <w:lang w:val="en-GB"/>
        </w:rPr>
        <w:t xml:space="preserve">Communication on </w:t>
      </w:r>
      <w:r w:rsidR="00C77D50" w:rsidRPr="005A39A6">
        <w:rPr>
          <w:rFonts w:ascii="Times New Roman" w:hAnsi="Times New Roman"/>
          <w:b/>
          <w:bCs/>
          <w:noProof/>
          <w:sz w:val="24"/>
          <w:szCs w:val="24"/>
          <w:lang w:val="en-GB"/>
        </w:rPr>
        <w:t xml:space="preserve">guidance </w:t>
      </w:r>
      <w:r w:rsidR="004C374D" w:rsidRPr="005A39A6">
        <w:rPr>
          <w:rFonts w:ascii="Times New Roman" w:hAnsi="Times New Roman"/>
          <w:b/>
          <w:bCs/>
          <w:noProof/>
          <w:sz w:val="24"/>
          <w:szCs w:val="24"/>
          <w:lang w:val="en-GB"/>
        </w:rPr>
        <w:t>for better transposition and application of Directive 2004/38/EC</w:t>
      </w:r>
      <w:r w:rsidR="00CC5FC1" w:rsidRPr="005A39A6">
        <w:rPr>
          <w:rFonts w:ascii="Times New Roman" w:hAnsi="Times New Roman"/>
          <w:b/>
          <w:bCs/>
          <w:noProof/>
          <w:sz w:val="24"/>
          <w:szCs w:val="24"/>
          <w:lang w:val="en-GB"/>
        </w:rPr>
        <w:t xml:space="preserve"> </w:t>
      </w:r>
      <w:r w:rsidR="004C374D" w:rsidRPr="00BD00A9">
        <w:rPr>
          <w:rFonts w:ascii="Times New Roman" w:hAnsi="Times New Roman"/>
          <w:noProof/>
          <w:sz w:val="24"/>
          <w:szCs w:val="24"/>
          <w:lang w:val="en-GB"/>
        </w:rPr>
        <w:t>(‘Free Movement Directive’)</w:t>
      </w:r>
      <w:r w:rsidR="00CC5FC1">
        <w:rPr>
          <w:rStyle w:val="FootnoteReference"/>
          <w:rFonts w:ascii="Times New Roman" w:hAnsi="Times New Roman"/>
          <w:noProof/>
          <w:sz w:val="24"/>
          <w:szCs w:val="24"/>
          <w:lang w:val="en-GB"/>
        </w:rPr>
        <w:footnoteReference w:id="10"/>
      </w:r>
      <w:r w:rsidR="00C77D50" w:rsidRPr="00BD00A9">
        <w:rPr>
          <w:noProof/>
          <w:lang w:val="en-GB"/>
        </w:rPr>
        <w:t>.</w:t>
      </w:r>
      <w:r w:rsidR="00C77D50" w:rsidRPr="00BD00A9">
        <w:rPr>
          <w:rFonts w:ascii="Times New Roman" w:hAnsi="Times New Roman"/>
          <w:noProof/>
          <w:sz w:val="24"/>
          <w:szCs w:val="24"/>
          <w:lang w:val="en-GB"/>
        </w:rPr>
        <w:t xml:space="preserve"> With this review, the Commission aims to facilitate the correct application of free movement legislation across the EU by integrating the relevant case law of the Court </w:t>
      </w:r>
      <w:r w:rsidR="00614667" w:rsidRPr="00BD00A9">
        <w:rPr>
          <w:rFonts w:ascii="Times New Roman" w:hAnsi="Times New Roman"/>
          <w:noProof/>
          <w:sz w:val="24"/>
          <w:szCs w:val="24"/>
          <w:lang w:val="en-GB"/>
        </w:rPr>
        <w:t>handed down</w:t>
      </w:r>
      <w:r w:rsidR="00C77D50" w:rsidRPr="00BD00A9">
        <w:rPr>
          <w:rFonts w:ascii="Times New Roman" w:hAnsi="Times New Roman"/>
          <w:noProof/>
          <w:sz w:val="24"/>
          <w:szCs w:val="24"/>
          <w:lang w:val="en-GB"/>
        </w:rPr>
        <w:t xml:space="preserve"> since 2009 and providing clarifications on specific issues faced by citizens and national administrations. The </w:t>
      </w:r>
      <w:r w:rsidR="00614667" w:rsidRPr="00BD00A9">
        <w:rPr>
          <w:rFonts w:ascii="Times New Roman" w:hAnsi="Times New Roman"/>
          <w:noProof/>
          <w:sz w:val="24"/>
          <w:szCs w:val="24"/>
          <w:lang w:val="en-GB"/>
        </w:rPr>
        <w:t>updated</w:t>
      </w:r>
      <w:r w:rsidR="00C77D50" w:rsidRPr="00BD00A9">
        <w:rPr>
          <w:rFonts w:ascii="Times New Roman" w:hAnsi="Times New Roman"/>
          <w:noProof/>
          <w:sz w:val="24"/>
          <w:szCs w:val="24"/>
          <w:lang w:val="en-GB"/>
        </w:rPr>
        <w:t xml:space="preserve"> guidance takes into account the diversity of families and therefore helps all members (including children) of all families (including rainbow families</w:t>
      </w:r>
      <w:r w:rsidR="00205493">
        <w:rPr>
          <w:rStyle w:val="FootnoteReference"/>
          <w:rFonts w:ascii="Times New Roman" w:hAnsi="Times New Roman"/>
          <w:noProof/>
          <w:sz w:val="24"/>
          <w:szCs w:val="24"/>
          <w:lang w:val="en-GB"/>
        </w:rPr>
        <w:footnoteReference w:id="11"/>
      </w:r>
      <w:r w:rsidR="00C77D50" w:rsidRPr="00BD00A9">
        <w:rPr>
          <w:rFonts w:ascii="Times New Roman" w:hAnsi="Times New Roman"/>
          <w:noProof/>
          <w:sz w:val="24"/>
          <w:szCs w:val="24"/>
          <w:lang w:val="en-GB"/>
        </w:rPr>
        <w:t>) to exercise their right to free movement</w:t>
      </w:r>
      <w:r w:rsidR="00614667" w:rsidRPr="00BD00A9">
        <w:rPr>
          <w:rFonts w:ascii="Times New Roman" w:hAnsi="Times New Roman"/>
          <w:noProof/>
          <w:sz w:val="24"/>
          <w:szCs w:val="24"/>
          <w:lang w:val="en-GB"/>
        </w:rPr>
        <w:t xml:space="preserve"> in practice</w:t>
      </w:r>
      <w:r w:rsidR="00C77D50" w:rsidRPr="00BD00A9">
        <w:rPr>
          <w:rFonts w:ascii="Times New Roman" w:hAnsi="Times New Roman"/>
          <w:noProof/>
          <w:sz w:val="24"/>
          <w:szCs w:val="24"/>
          <w:lang w:val="en-GB"/>
        </w:rPr>
        <w:t xml:space="preserve">, in line with the case law of the Court </w:t>
      </w:r>
      <w:r w:rsidR="00C77D50" w:rsidRPr="00BD00A9">
        <w:rPr>
          <w:rFonts w:ascii="Times New Roman" w:hAnsi="Times New Roman"/>
          <w:i/>
          <w:iCs/>
          <w:noProof/>
          <w:sz w:val="24"/>
          <w:szCs w:val="24"/>
          <w:lang w:val="en-GB"/>
        </w:rPr>
        <w:t xml:space="preserve">(see </w:t>
      </w:r>
      <w:r w:rsidR="009E5D4F">
        <w:rPr>
          <w:rFonts w:ascii="Times New Roman" w:hAnsi="Times New Roman"/>
          <w:i/>
          <w:iCs/>
          <w:noProof/>
          <w:sz w:val="24"/>
          <w:szCs w:val="24"/>
          <w:lang w:val="en-GB"/>
        </w:rPr>
        <w:t xml:space="preserve">also </w:t>
      </w:r>
      <w:r w:rsidR="00C77D50" w:rsidRPr="00BD00A9">
        <w:rPr>
          <w:rFonts w:ascii="Times New Roman" w:hAnsi="Times New Roman"/>
          <w:i/>
          <w:iCs/>
          <w:noProof/>
          <w:sz w:val="24"/>
          <w:szCs w:val="24"/>
          <w:lang w:val="en-GB"/>
        </w:rPr>
        <w:t>Section 6.2.1).</w:t>
      </w:r>
    </w:p>
    <w:p w14:paraId="1622003C" w14:textId="555C2893" w:rsidR="003531E6" w:rsidRPr="00BD00A9" w:rsidRDefault="003531E6" w:rsidP="003531E6">
      <w:pPr>
        <w:pStyle w:val="NormalWeb"/>
        <w:shd w:val="clear" w:color="auto" w:fill="FFFFFF"/>
        <w:spacing w:before="0" w:beforeAutospacing="0" w:after="120" w:afterAutospacing="0" w:line="276" w:lineRule="auto"/>
        <w:jc w:val="both"/>
        <w:rPr>
          <w:noProof/>
          <w:color w:val="1E1E1F"/>
        </w:rPr>
      </w:pPr>
      <w:r w:rsidRPr="00BD00A9">
        <w:rPr>
          <w:noProof/>
          <w:color w:val="1E1E1F"/>
        </w:rPr>
        <w:t>In its Communication on the follow-up to the Conference on the Future of Europe</w:t>
      </w:r>
      <w:r w:rsidRPr="00BD00A9">
        <w:rPr>
          <w:rStyle w:val="FootnoteReference"/>
          <w:rFonts w:eastAsiaTheme="majorEastAsia"/>
          <w:noProof/>
        </w:rPr>
        <w:footnoteReference w:id="12"/>
      </w:r>
      <w:r w:rsidRPr="00BD00A9">
        <w:rPr>
          <w:noProof/>
          <w:color w:val="1E1E1F"/>
        </w:rPr>
        <w:t>, the Commission committed to deliver</w:t>
      </w:r>
      <w:r w:rsidR="00614667" w:rsidRPr="00BD00A9">
        <w:rPr>
          <w:noProof/>
          <w:color w:val="1E1E1F"/>
        </w:rPr>
        <w:t>ing</w:t>
      </w:r>
      <w:r w:rsidRPr="00BD00A9">
        <w:rPr>
          <w:noProof/>
          <w:color w:val="1E1E1F"/>
        </w:rPr>
        <w:t xml:space="preserve"> on the Conference proposals within the framework of its competence and in accordance with the Treaties. It indicated it would consider new areas of action in the field of European </w:t>
      </w:r>
      <w:r w:rsidR="00614667" w:rsidRPr="00BD00A9">
        <w:rPr>
          <w:noProof/>
          <w:color w:val="1E1E1F"/>
        </w:rPr>
        <w:t>d</w:t>
      </w:r>
      <w:r w:rsidRPr="00BD00A9">
        <w:rPr>
          <w:noProof/>
          <w:color w:val="1E1E1F"/>
        </w:rPr>
        <w:t xml:space="preserve">emocracy, in particular </w:t>
      </w:r>
      <w:r w:rsidR="00614667" w:rsidRPr="00BD00A9">
        <w:rPr>
          <w:noProof/>
          <w:color w:val="1E1E1F"/>
        </w:rPr>
        <w:t>‘</w:t>
      </w:r>
      <w:r w:rsidRPr="00BD00A9">
        <w:rPr>
          <w:noProof/>
          <w:color w:val="1E1E1F"/>
        </w:rPr>
        <w:t xml:space="preserve">making </w:t>
      </w:r>
      <w:r w:rsidRPr="00BD00A9">
        <w:rPr>
          <w:noProof/>
        </w:rPr>
        <w:t>European citizenship more tangible to citizens, including by reinforcing the rights attached to it and by providing reliable and easily accessible information about it</w:t>
      </w:r>
      <w:r w:rsidR="00614667" w:rsidRPr="00BD00A9">
        <w:rPr>
          <w:noProof/>
        </w:rPr>
        <w:t>’</w:t>
      </w:r>
      <w:r w:rsidRPr="00BD00A9">
        <w:rPr>
          <w:noProof/>
        </w:rPr>
        <w:t>.</w:t>
      </w:r>
    </w:p>
    <w:p w14:paraId="38FF7E44" w14:textId="725513FB" w:rsidR="003531E6" w:rsidRPr="00BD00A9" w:rsidRDefault="003531E6" w:rsidP="00DC2760">
      <w:pPr>
        <w:pStyle w:val="NormalWeb"/>
        <w:shd w:val="clear" w:color="auto" w:fill="FFFFFF"/>
        <w:spacing w:before="0" w:beforeAutospacing="0" w:after="120" w:afterAutospacing="0" w:line="276" w:lineRule="auto"/>
        <w:jc w:val="both"/>
        <w:rPr>
          <w:noProof/>
          <w:color w:val="1E1E1F"/>
        </w:rPr>
      </w:pPr>
      <w:r w:rsidRPr="00BD00A9">
        <w:rPr>
          <w:noProof/>
          <w:color w:val="1E1E1F"/>
        </w:rPr>
        <w:t xml:space="preserve">The Commission is therefore presenting a </w:t>
      </w:r>
      <w:r w:rsidR="00614667" w:rsidRPr="00BD00A9">
        <w:rPr>
          <w:noProof/>
          <w:color w:val="1E1E1F"/>
        </w:rPr>
        <w:t>‘</w:t>
      </w:r>
      <w:r w:rsidR="00286A3A" w:rsidRPr="00A71DC0">
        <w:rPr>
          <w:b/>
          <w:bCs/>
          <w:noProof/>
          <w:color w:val="1E1E1F"/>
        </w:rPr>
        <w:t>Guide to EU citizenship</w:t>
      </w:r>
      <w:r w:rsidR="00614667" w:rsidRPr="00BD00A9">
        <w:rPr>
          <w:noProof/>
          <w:color w:val="1E1E1F"/>
        </w:rPr>
        <w:t>’</w:t>
      </w:r>
      <w:r w:rsidRPr="00BD00A9">
        <w:rPr>
          <w:noProof/>
          <w:color w:val="1E1E1F"/>
        </w:rPr>
        <w:t xml:space="preserve"> to </w:t>
      </w:r>
      <w:r w:rsidR="00353AC6" w:rsidRPr="00BD00A9">
        <w:rPr>
          <w:noProof/>
          <w:color w:val="1E1E1F"/>
        </w:rPr>
        <w:t xml:space="preserve">further advance awareness of EU citizenship </w:t>
      </w:r>
      <w:r w:rsidR="003474B3">
        <w:rPr>
          <w:noProof/>
          <w:color w:val="1E1E1F"/>
        </w:rPr>
        <w:t>amongst</w:t>
      </w:r>
      <w:r w:rsidRPr="00BD00A9">
        <w:rPr>
          <w:noProof/>
          <w:color w:val="1E1E1F"/>
        </w:rPr>
        <w:t xml:space="preserve"> </w:t>
      </w:r>
      <w:r w:rsidR="00E2100E" w:rsidRPr="00BD00A9">
        <w:rPr>
          <w:noProof/>
          <w:color w:val="1E1E1F"/>
        </w:rPr>
        <w:t xml:space="preserve">young EU citizens </w:t>
      </w:r>
      <w:r w:rsidR="003474B3">
        <w:rPr>
          <w:noProof/>
          <w:color w:val="1E1E1F"/>
        </w:rPr>
        <w:t>(</w:t>
      </w:r>
      <w:r w:rsidR="00E2100E" w:rsidRPr="00BD00A9">
        <w:rPr>
          <w:noProof/>
          <w:color w:val="1E1E1F"/>
        </w:rPr>
        <w:t>who start being democratically engaged</w:t>
      </w:r>
      <w:r w:rsidR="003474B3">
        <w:rPr>
          <w:noProof/>
          <w:color w:val="1E1E1F"/>
        </w:rPr>
        <w:t>)</w:t>
      </w:r>
      <w:r w:rsidR="00E2100E" w:rsidRPr="00BD00A9">
        <w:rPr>
          <w:noProof/>
          <w:color w:val="1E1E1F"/>
        </w:rPr>
        <w:t xml:space="preserve"> </w:t>
      </w:r>
      <w:r w:rsidR="00E2100E">
        <w:rPr>
          <w:noProof/>
          <w:color w:val="1E1E1F"/>
        </w:rPr>
        <w:t xml:space="preserve">and for </w:t>
      </w:r>
      <w:r w:rsidRPr="00BD00A9">
        <w:rPr>
          <w:noProof/>
          <w:color w:val="1E1E1F"/>
        </w:rPr>
        <w:t>new EU citizens (</w:t>
      </w:r>
      <w:r w:rsidR="003474B3">
        <w:rPr>
          <w:noProof/>
          <w:color w:val="1E1E1F"/>
        </w:rPr>
        <w:t xml:space="preserve">e.g. those </w:t>
      </w:r>
      <w:r w:rsidRPr="00BD00A9">
        <w:rPr>
          <w:noProof/>
          <w:color w:val="1E1E1F"/>
        </w:rPr>
        <w:t>who are naturalised)</w:t>
      </w:r>
      <w:r w:rsidR="00614667" w:rsidRPr="00BD00A9">
        <w:rPr>
          <w:noProof/>
          <w:color w:val="1E1E1F"/>
        </w:rPr>
        <w:t xml:space="preserve">. The </w:t>
      </w:r>
      <w:r w:rsidR="00286A3A" w:rsidRPr="00BD00A9">
        <w:rPr>
          <w:noProof/>
          <w:color w:val="1E1E1F"/>
        </w:rPr>
        <w:t>guide</w:t>
      </w:r>
      <w:r w:rsidR="00614667" w:rsidRPr="00BD00A9">
        <w:rPr>
          <w:noProof/>
          <w:color w:val="1E1E1F"/>
        </w:rPr>
        <w:t xml:space="preserve"> w</w:t>
      </w:r>
      <w:r w:rsidR="00286A3A" w:rsidRPr="00BD00A9">
        <w:rPr>
          <w:noProof/>
          <w:color w:val="1E1E1F"/>
        </w:rPr>
        <w:t>ill</w:t>
      </w:r>
      <w:r w:rsidR="00614667" w:rsidRPr="00BD00A9">
        <w:rPr>
          <w:noProof/>
          <w:color w:val="1E1E1F"/>
        </w:rPr>
        <w:t xml:space="preserve"> help to familiarise them </w:t>
      </w:r>
      <w:r w:rsidRPr="00BD00A9">
        <w:rPr>
          <w:noProof/>
          <w:color w:val="1E1E1F"/>
        </w:rPr>
        <w:t xml:space="preserve">in an attractive and easy-to-understand way with the history, </w:t>
      </w:r>
      <w:r w:rsidR="00371EB3" w:rsidRPr="00BD00A9">
        <w:rPr>
          <w:noProof/>
          <w:color w:val="1E1E1F"/>
        </w:rPr>
        <w:t>values</w:t>
      </w:r>
      <w:r w:rsidR="00371EB3">
        <w:rPr>
          <w:noProof/>
          <w:color w:val="1E1E1F"/>
        </w:rPr>
        <w:t>,</w:t>
      </w:r>
      <w:r w:rsidR="00371EB3" w:rsidRPr="00BD00A9">
        <w:rPr>
          <w:noProof/>
          <w:color w:val="1E1E1F"/>
        </w:rPr>
        <w:t xml:space="preserve"> rights</w:t>
      </w:r>
      <w:r w:rsidR="00371EB3">
        <w:rPr>
          <w:noProof/>
          <w:color w:val="1E1E1F"/>
        </w:rPr>
        <w:t xml:space="preserve"> and responsibilities</w:t>
      </w:r>
      <w:r w:rsidRPr="00BD00A9">
        <w:rPr>
          <w:noProof/>
          <w:color w:val="1E1E1F"/>
        </w:rPr>
        <w:t xml:space="preserve"> that underpin their status </w:t>
      </w:r>
      <w:r w:rsidR="00614667" w:rsidRPr="00BD00A9">
        <w:rPr>
          <w:noProof/>
          <w:color w:val="1E1E1F"/>
        </w:rPr>
        <w:t>as</w:t>
      </w:r>
      <w:r w:rsidRPr="00BD00A9">
        <w:rPr>
          <w:noProof/>
          <w:color w:val="1E1E1F"/>
        </w:rPr>
        <w:t xml:space="preserve"> EU citizens</w:t>
      </w:r>
      <w:r w:rsidR="00614667" w:rsidRPr="00BD00A9">
        <w:rPr>
          <w:noProof/>
          <w:color w:val="1E1E1F"/>
        </w:rPr>
        <w:t xml:space="preserve">. It </w:t>
      </w:r>
      <w:bookmarkStart w:id="10" w:name="_Hlk150791723"/>
      <w:r w:rsidR="00614667" w:rsidRPr="00BD00A9">
        <w:rPr>
          <w:noProof/>
          <w:color w:val="1E1E1F"/>
        </w:rPr>
        <w:t>w</w:t>
      </w:r>
      <w:r w:rsidR="00286A3A" w:rsidRPr="00BD00A9">
        <w:rPr>
          <w:noProof/>
          <w:color w:val="1E1E1F"/>
        </w:rPr>
        <w:t>ill</w:t>
      </w:r>
      <w:r w:rsidR="00614667" w:rsidRPr="00BD00A9">
        <w:rPr>
          <w:noProof/>
          <w:color w:val="1E1E1F"/>
        </w:rPr>
        <w:t xml:space="preserve"> also</w:t>
      </w:r>
      <w:r w:rsidRPr="00BD00A9">
        <w:rPr>
          <w:noProof/>
          <w:color w:val="1E1E1F"/>
        </w:rPr>
        <w:t xml:space="preserve"> illustrate </w:t>
      </w:r>
      <w:r w:rsidR="00614667" w:rsidRPr="00BD00A9">
        <w:rPr>
          <w:noProof/>
          <w:color w:val="1E1E1F"/>
        </w:rPr>
        <w:t>the</w:t>
      </w:r>
      <w:r w:rsidRPr="00BD00A9">
        <w:rPr>
          <w:noProof/>
          <w:color w:val="1E1E1F"/>
        </w:rPr>
        <w:t xml:space="preserve"> benefits </w:t>
      </w:r>
      <w:r w:rsidR="00614667" w:rsidRPr="00BD00A9">
        <w:rPr>
          <w:noProof/>
          <w:color w:val="1E1E1F"/>
        </w:rPr>
        <w:t xml:space="preserve">of EU citizenship </w:t>
      </w:r>
      <w:r w:rsidRPr="00BD00A9">
        <w:rPr>
          <w:noProof/>
          <w:color w:val="1E1E1F"/>
        </w:rPr>
        <w:t xml:space="preserve">and </w:t>
      </w:r>
      <w:r w:rsidR="00614667" w:rsidRPr="00BD00A9">
        <w:rPr>
          <w:noProof/>
          <w:color w:val="1E1E1F"/>
        </w:rPr>
        <w:t xml:space="preserve">the </w:t>
      </w:r>
      <w:r w:rsidRPr="00BD00A9">
        <w:rPr>
          <w:noProof/>
          <w:color w:val="1E1E1F"/>
        </w:rPr>
        <w:t>opportunities</w:t>
      </w:r>
      <w:r w:rsidR="00614667" w:rsidRPr="00BD00A9">
        <w:rPr>
          <w:noProof/>
          <w:color w:val="1E1E1F"/>
        </w:rPr>
        <w:t xml:space="preserve"> it offers</w:t>
      </w:r>
      <w:r w:rsidRPr="00BD00A9">
        <w:rPr>
          <w:noProof/>
          <w:color w:val="1E1E1F"/>
        </w:rPr>
        <w:t xml:space="preserve"> for democratic engagement</w:t>
      </w:r>
      <w:bookmarkEnd w:id="10"/>
      <w:r w:rsidRPr="00BD00A9">
        <w:rPr>
          <w:noProof/>
          <w:color w:val="1E1E1F"/>
        </w:rPr>
        <w:t>. T</w:t>
      </w:r>
      <w:r w:rsidR="00614667" w:rsidRPr="00BD00A9">
        <w:rPr>
          <w:noProof/>
          <w:color w:val="1E1E1F"/>
        </w:rPr>
        <w:t xml:space="preserve">hroughout the </w:t>
      </w:r>
      <w:r w:rsidR="00286A3A" w:rsidRPr="00BD00A9">
        <w:rPr>
          <w:noProof/>
          <w:color w:val="1E1E1F"/>
        </w:rPr>
        <w:t>guide</w:t>
      </w:r>
      <w:r w:rsidR="00614667" w:rsidRPr="00BD00A9">
        <w:rPr>
          <w:noProof/>
          <w:color w:val="1E1E1F"/>
        </w:rPr>
        <w:t>, t</w:t>
      </w:r>
      <w:r w:rsidRPr="00BD00A9">
        <w:rPr>
          <w:noProof/>
          <w:color w:val="1E1E1F"/>
        </w:rPr>
        <w:t xml:space="preserve">he </w:t>
      </w:r>
      <w:r w:rsidR="00371EB3">
        <w:rPr>
          <w:noProof/>
          <w:color w:val="1E1E1F"/>
        </w:rPr>
        <w:t xml:space="preserve">respect of </w:t>
      </w:r>
      <w:r w:rsidRPr="00BD00A9">
        <w:rPr>
          <w:noProof/>
          <w:color w:val="1E1E1F"/>
        </w:rPr>
        <w:t xml:space="preserve">Union of values </w:t>
      </w:r>
      <w:r w:rsidR="00614667" w:rsidRPr="00BD00A9">
        <w:rPr>
          <w:noProof/>
          <w:color w:val="1E1E1F"/>
        </w:rPr>
        <w:t xml:space="preserve">is </w:t>
      </w:r>
      <w:r w:rsidRPr="00BD00A9">
        <w:rPr>
          <w:noProof/>
          <w:color w:val="1E1E1F"/>
        </w:rPr>
        <w:t>highligh</w:t>
      </w:r>
      <w:r w:rsidR="00614667" w:rsidRPr="00BD00A9">
        <w:rPr>
          <w:noProof/>
          <w:color w:val="1E1E1F"/>
        </w:rPr>
        <w:t>ted, with a focus on</w:t>
      </w:r>
      <w:r w:rsidRPr="00BD00A9">
        <w:rPr>
          <w:noProof/>
          <w:color w:val="1E1E1F"/>
        </w:rPr>
        <w:t xml:space="preserve"> fundamental rights, democracy</w:t>
      </w:r>
      <w:r w:rsidR="00614667" w:rsidRPr="00BD00A9">
        <w:rPr>
          <w:noProof/>
          <w:color w:val="1E1E1F"/>
        </w:rPr>
        <w:t xml:space="preserve"> and the </w:t>
      </w:r>
      <w:r w:rsidRPr="00BD00A9">
        <w:rPr>
          <w:noProof/>
          <w:color w:val="1E1E1F"/>
        </w:rPr>
        <w:t xml:space="preserve">rule of law. This will help make </w:t>
      </w:r>
      <w:r w:rsidR="00704351" w:rsidRPr="00BD00A9">
        <w:rPr>
          <w:noProof/>
          <w:color w:val="1E1E1F"/>
        </w:rPr>
        <w:t>EU citizenship rights</w:t>
      </w:r>
      <w:r w:rsidRPr="00BD00A9">
        <w:rPr>
          <w:noProof/>
          <w:color w:val="1E1E1F"/>
        </w:rPr>
        <w:t xml:space="preserve"> more tangible for EU citizens.</w:t>
      </w:r>
    </w:p>
    <w:p w14:paraId="119C671B" w14:textId="67150EE5" w:rsidR="008E1B22" w:rsidRPr="00BD00A9" w:rsidRDefault="008E1B22" w:rsidP="003531E6">
      <w:pPr>
        <w:spacing w:after="240" w:line="276" w:lineRule="auto"/>
        <w:jc w:val="both"/>
        <w:rPr>
          <w:rFonts w:ascii="Times New Roman" w:hAnsi="Times New Roman"/>
          <w:noProof/>
          <w:sz w:val="24"/>
          <w:szCs w:val="24"/>
          <w:lang w:val="en-IE"/>
        </w:rPr>
      </w:pPr>
      <w:r w:rsidRPr="00BD00A9">
        <w:rPr>
          <w:rFonts w:ascii="Times New Roman" w:hAnsi="Times New Roman"/>
          <w:noProof/>
          <w:sz w:val="24"/>
          <w:szCs w:val="24"/>
          <w:lang w:val="en-IE"/>
        </w:rPr>
        <w:t>Participation in elections is an essential component of a vibrant democracy. This goes beyond the right to vote and includes the possibility to stand as a candidate, to join a political party, to join the electoral process as an election official or election observer, and to access electoral information</w:t>
      </w:r>
      <w:r w:rsidR="00614667" w:rsidRPr="00BD00A9">
        <w:rPr>
          <w:rFonts w:ascii="Times New Roman" w:hAnsi="Times New Roman"/>
          <w:noProof/>
          <w:sz w:val="24"/>
          <w:szCs w:val="24"/>
          <w:lang w:val="en-IE"/>
        </w:rPr>
        <w:t xml:space="preserve"> </w:t>
      </w:r>
      <w:r w:rsidRPr="00BD00A9">
        <w:rPr>
          <w:rFonts w:ascii="Times New Roman" w:hAnsi="Times New Roman"/>
          <w:noProof/>
          <w:sz w:val="24"/>
          <w:szCs w:val="24"/>
          <w:lang w:val="en-IE"/>
        </w:rPr>
        <w:t xml:space="preserve">to support free and fair expression of electoral preferences. All citizens should be able to participate effectively in the political life in the European Union. </w:t>
      </w:r>
    </w:p>
    <w:p w14:paraId="5B9BE9D9" w14:textId="3D910630" w:rsidR="00543F52" w:rsidRPr="00BD00A9" w:rsidRDefault="003531E6" w:rsidP="007959F4">
      <w:pPr>
        <w:spacing w:after="240" w:line="276" w:lineRule="auto"/>
        <w:jc w:val="both"/>
        <w:rPr>
          <w:rFonts w:ascii="Times New Roman" w:hAnsi="Times New Roman"/>
          <w:noProof/>
          <w:sz w:val="24"/>
          <w:szCs w:val="24"/>
          <w:lang w:val="en-IE"/>
        </w:rPr>
      </w:pPr>
      <w:r w:rsidRPr="00BD00A9">
        <w:rPr>
          <w:rFonts w:ascii="Times New Roman" w:hAnsi="Times New Roman"/>
          <w:noProof/>
          <w:sz w:val="24"/>
          <w:szCs w:val="24"/>
          <w:lang w:val="en-IE"/>
        </w:rPr>
        <w:t xml:space="preserve">As announced </w:t>
      </w:r>
      <w:r w:rsidR="00614667" w:rsidRPr="00BD00A9">
        <w:rPr>
          <w:rFonts w:ascii="Times New Roman" w:hAnsi="Times New Roman"/>
          <w:noProof/>
          <w:sz w:val="24"/>
          <w:szCs w:val="24"/>
          <w:lang w:val="en-IE"/>
        </w:rPr>
        <w:t>in</w:t>
      </w:r>
      <w:r w:rsidRPr="00BD00A9">
        <w:rPr>
          <w:rFonts w:ascii="Times New Roman" w:hAnsi="Times New Roman"/>
          <w:noProof/>
          <w:sz w:val="24"/>
          <w:szCs w:val="24"/>
          <w:lang w:val="en-IE"/>
        </w:rPr>
        <w:t xml:space="preserve"> the Strategy for the Rights of Persons with Disabilities 2021-2030, the Commission is</w:t>
      </w:r>
      <w:r w:rsidR="007959F4" w:rsidRPr="00BD00A9">
        <w:rPr>
          <w:rFonts w:ascii="Times New Roman" w:hAnsi="Times New Roman"/>
          <w:noProof/>
          <w:sz w:val="24"/>
          <w:szCs w:val="24"/>
          <w:lang w:val="en-IE"/>
        </w:rPr>
        <w:t xml:space="preserve"> </w:t>
      </w:r>
      <w:r w:rsidRPr="00BD00A9">
        <w:rPr>
          <w:rFonts w:ascii="Times New Roman" w:hAnsi="Times New Roman"/>
          <w:noProof/>
          <w:sz w:val="24"/>
          <w:szCs w:val="24"/>
          <w:lang w:val="en-IE"/>
        </w:rPr>
        <w:t>publishing a</w:t>
      </w:r>
      <w:r w:rsidRPr="00BD00A9">
        <w:rPr>
          <w:rFonts w:ascii="Times New Roman" w:hAnsi="Times New Roman"/>
          <w:b/>
          <w:bCs/>
          <w:noProof/>
          <w:sz w:val="24"/>
          <w:szCs w:val="24"/>
          <w:lang w:val="en-IE"/>
        </w:rPr>
        <w:t xml:space="preserve"> </w:t>
      </w:r>
      <w:r w:rsidR="00614667" w:rsidRPr="00BD00A9">
        <w:rPr>
          <w:rFonts w:ascii="Times New Roman" w:hAnsi="Times New Roman"/>
          <w:noProof/>
          <w:sz w:val="24"/>
          <w:szCs w:val="24"/>
          <w:lang w:val="en-IE"/>
        </w:rPr>
        <w:t>‘</w:t>
      </w:r>
      <w:r w:rsidRPr="00A71DC0">
        <w:rPr>
          <w:rFonts w:ascii="Times New Roman" w:hAnsi="Times New Roman"/>
          <w:b/>
          <w:bCs/>
          <w:noProof/>
          <w:sz w:val="24"/>
          <w:szCs w:val="24"/>
          <w:lang w:val="en-IE"/>
        </w:rPr>
        <w:t>Guide of good electoral practice</w:t>
      </w:r>
      <w:r w:rsidR="00D03902" w:rsidRPr="00A71DC0">
        <w:rPr>
          <w:rFonts w:ascii="Times New Roman" w:hAnsi="Times New Roman"/>
          <w:b/>
          <w:bCs/>
          <w:noProof/>
          <w:sz w:val="24"/>
          <w:szCs w:val="24"/>
          <w:lang w:val="en-IE"/>
        </w:rPr>
        <w:t>s in Member States</w:t>
      </w:r>
      <w:r w:rsidRPr="00A71DC0">
        <w:rPr>
          <w:rFonts w:ascii="Times New Roman" w:hAnsi="Times New Roman"/>
          <w:b/>
          <w:bCs/>
          <w:noProof/>
          <w:sz w:val="24"/>
          <w:szCs w:val="24"/>
          <w:lang w:val="en-IE"/>
        </w:rPr>
        <w:t xml:space="preserve"> addressing participation of citizens with disabilities in the electoral process</w:t>
      </w:r>
      <w:r w:rsidR="00614667" w:rsidRPr="00BD00A9">
        <w:rPr>
          <w:rFonts w:ascii="Times New Roman" w:hAnsi="Times New Roman"/>
          <w:noProof/>
          <w:sz w:val="24"/>
          <w:szCs w:val="24"/>
          <w:lang w:val="en-IE"/>
        </w:rPr>
        <w:t>’</w:t>
      </w:r>
      <w:r w:rsidRPr="00BD00A9">
        <w:rPr>
          <w:rFonts w:ascii="Times New Roman" w:hAnsi="Times New Roman"/>
          <w:noProof/>
          <w:sz w:val="24"/>
          <w:szCs w:val="24"/>
          <w:lang w:val="en-IE"/>
        </w:rPr>
        <w:t>.</w:t>
      </w:r>
      <w:r w:rsidR="00701678" w:rsidRPr="00BD00A9">
        <w:rPr>
          <w:rFonts w:ascii="Times New Roman" w:hAnsi="Times New Roman"/>
          <w:noProof/>
          <w:sz w:val="24"/>
          <w:szCs w:val="24"/>
          <w:lang w:val="en-IE"/>
        </w:rPr>
        <w:t xml:space="preserve"> </w:t>
      </w:r>
      <w:r w:rsidR="00530BB1" w:rsidRPr="00BD00A9">
        <w:rPr>
          <w:rFonts w:ascii="Times New Roman" w:hAnsi="Times New Roman"/>
          <w:noProof/>
          <w:sz w:val="24"/>
          <w:szCs w:val="24"/>
          <w:lang w:val="en-IE"/>
        </w:rPr>
        <w:t>It was p</w:t>
      </w:r>
      <w:r w:rsidR="00701678" w:rsidRPr="00BD00A9">
        <w:rPr>
          <w:rFonts w:ascii="Times New Roman" w:hAnsi="Times New Roman"/>
          <w:noProof/>
          <w:sz w:val="24"/>
          <w:szCs w:val="24"/>
          <w:lang w:val="en-IE"/>
        </w:rPr>
        <w:t xml:space="preserve">repared in close cooperation with Member States in the framework of the European Cooperation Network on Elections, </w:t>
      </w:r>
      <w:r w:rsidR="007959F4" w:rsidRPr="00BD00A9">
        <w:rPr>
          <w:rFonts w:ascii="Times New Roman" w:hAnsi="Times New Roman"/>
          <w:noProof/>
          <w:sz w:val="24"/>
          <w:szCs w:val="24"/>
          <w:lang w:val="en-IE"/>
        </w:rPr>
        <w:t xml:space="preserve">and by consulting different stakeholders active </w:t>
      </w:r>
      <w:r w:rsidR="00833EA6" w:rsidRPr="00BD00A9">
        <w:rPr>
          <w:rFonts w:ascii="Times New Roman" w:hAnsi="Times New Roman"/>
          <w:noProof/>
          <w:sz w:val="24"/>
          <w:szCs w:val="24"/>
          <w:lang w:val="en-IE"/>
        </w:rPr>
        <w:t xml:space="preserve">in the field </w:t>
      </w:r>
      <w:r w:rsidR="007959F4" w:rsidRPr="00BD00A9">
        <w:rPr>
          <w:rFonts w:ascii="Times New Roman" w:hAnsi="Times New Roman"/>
          <w:noProof/>
          <w:sz w:val="24"/>
          <w:szCs w:val="24"/>
          <w:lang w:val="en-IE"/>
        </w:rPr>
        <w:t xml:space="preserve">of rights </w:t>
      </w:r>
      <w:r w:rsidR="00833EA6" w:rsidRPr="00BD00A9">
        <w:rPr>
          <w:rFonts w:ascii="Times New Roman" w:hAnsi="Times New Roman"/>
          <w:noProof/>
          <w:sz w:val="24"/>
          <w:szCs w:val="24"/>
          <w:lang w:val="en-IE"/>
        </w:rPr>
        <w:t xml:space="preserve">for </w:t>
      </w:r>
      <w:r w:rsidR="00E2100E">
        <w:rPr>
          <w:rFonts w:ascii="Times New Roman" w:hAnsi="Times New Roman"/>
          <w:noProof/>
          <w:sz w:val="24"/>
          <w:szCs w:val="24"/>
          <w:lang w:val="en-IE"/>
        </w:rPr>
        <w:t>persons</w:t>
      </w:r>
      <w:r w:rsidR="007959F4" w:rsidRPr="00BD00A9">
        <w:rPr>
          <w:rFonts w:ascii="Times New Roman" w:hAnsi="Times New Roman"/>
          <w:noProof/>
          <w:sz w:val="24"/>
          <w:szCs w:val="24"/>
          <w:lang w:val="en-IE"/>
        </w:rPr>
        <w:t xml:space="preserve"> with disabilities. </w:t>
      </w:r>
      <w:r w:rsidR="00833EA6" w:rsidRPr="00BD00A9">
        <w:rPr>
          <w:rFonts w:ascii="Times New Roman" w:hAnsi="Times New Roman"/>
          <w:noProof/>
          <w:sz w:val="24"/>
          <w:szCs w:val="24"/>
          <w:lang w:val="en-IE"/>
        </w:rPr>
        <w:t>The guide</w:t>
      </w:r>
      <w:r w:rsidR="007959F4" w:rsidRPr="00BD00A9">
        <w:rPr>
          <w:rFonts w:ascii="Times New Roman" w:hAnsi="Times New Roman"/>
          <w:noProof/>
          <w:sz w:val="24"/>
          <w:szCs w:val="24"/>
          <w:lang w:val="en-IE"/>
        </w:rPr>
        <w:t xml:space="preserve"> reflects the various measures taken by Member States to address the obstacles faced by citizens with disabilities when interacting with the electoral environment and </w:t>
      </w:r>
      <w:r w:rsidR="00543F52" w:rsidRPr="00BD00A9">
        <w:rPr>
          <w:rFonts w:ascii="Times New Roman" w:hAnsi="Times New Roman"/>
          <w:noProof/>
          <w:sz w:val="24"/>
          <w:szCs w:val="24"/>
          <w:lang w:val="en-IE"/>
        </w:rPr>
        <w:t xml:space="preserve">to </w:t>
      </w:r>
      <w:r w:rsidR="007959F4" w:rsidRPr="00BD00A9">
        <w:rPr>
          <w:rFonts w:ascii="Times New Roman" w:hAnsi="Times New Roman"/>
          <w:noProof/>
          <w:sz w:val="24"/>
          <w:szCs w:val="24"/>
          <w:lang w:val="en-IE"/>
        </w:rPr>
        <w:t>ensure the effectiveness of their electoral rights</w:t>
      </w:r>
      <w:r w:rsidR="00833EA6" w:rsidRPr="00BD00A9">
        <w:rPr>
          <w:rFonts w:ascii="Times New Roman" w:hAnsi="Times New Roman"/>
          <w:noProof/>
          <w:sz w:val="24"/>
          <w:szCs w:val="24"/>
          <w:lang w:val="en-IE"/>
        </w:rPr>
        <w:t>. It</w:t>
      </w:r>
      <w:r w:rsidR="007959F4" w:rsidRPr="00BD00A9">
        <w:rPr>
          <w:rFonts w:ascii="Times New Roman" w:hAnsi="Times New Roman"/>
          <w:noProof/>
          <w:sz w:val="24"/>
          <w:szCs w:val="24"/>
          <w:lang w:val="en-IE"/>
        </w:rPr>
        <w:t xml:space="preserve"> also highlights the emergence of common references on delivering accessible elections.  </w:t>
      </w:r>
    </w:p>
    <w:p w14:paraId="2BCBD1DB" w14:textId="1CECFC4E" w:rsidR="007959F4" w:rsidRPr="00BD00A9" w:rsidRDefault="007959F4" w:rsidP="007959F4">
      <w:pPr>
        <w:spacing w:after="240" w:line="276" w:lineRule="auto"/>
        <w:jc w:val="both"/>
        <w:rPr>
          <w:rFonts w:ascii="Times New Roman" w:hAnsi="Times New Roman"/>
          <w:noProof/>
          <w:sz w:val="24"/>
          <w:szCs w:val="24"/>
          <w:lang w:val="en-IE"/>
        </w:rPr>
      </w:pPr>
      <w:r w:rsidRPr="00BD00A9">
        <w:rPr>
          <w:rFonts w:ascii="Times New Roman" w:hAnsi="Times New Roman"/>
          <w:noProof/>
          <w:sz w:val="24"/>
          <w:szCs w:val="24"/>
          <w:lang w:val="en-IE"/>
        </w:rPr>
        <w:t xml:space="preserve">In addition, as part of the measures announced in the European Democracy Action Plan, the Commission has also developed a </w:t>
      </w:r>
      <w:r w:rsidRPr="00A71DC0">
        <w:rPr>
          <w:rFonts w:ascii="Times New Roman" w:hAnsi="Times New Roman"/>
          <w:b/>
          <w:bCs/>
          <w:noProof/>
          <w:sz w:val="24"/>
          <w:szCs w:val="24"/>
          <w:lang w:val="en-IE"/>
        </w:rPr>
        <w:t xml:space="preserve">Compendium </w:t>
      </w:r>
      <w:r w:rsidR="00162046" w:rsidRPr="00A71DC0">
        <w:rPr>
          <w:rFonts w:ascii="Times New Roman" w:hAnsi="Times New Roman"/>
          <w:b/>
          <w:bCs/>
          <w:noProof/>
          <w:sz w:val="24"/>
          <w:szCs w:val="24"/>
          <w:lang w:val="en-IE"/>
        </w:rPr>
        <w:t xml:space="preserve">of </w:t>
      </w:r>
      <w:r w:rsidRPr="00A71DC0">
        <w:rPr>
          <w:rFonts w:ascii="Times New Roman" w:hAnsi="Times New Roman"/>
          <w:b/>
          <w:bCs/>
          <w:noProof/>
          <w:sz w:val="24"/>
          <w:szCs w:val="24"/>
          <w:lang w:val="en-IE"/>
        </w:rPr>
        <w:t xml:space="preserve">e-voting </w:t>
      </w:r>
      <w:r w:rsidR="00162046" w:rsidRPr="00A71DC0">
        <w:rPr>
          <w:rFonts w:ascii="Times New Roman" w:hAnsi="Times New Roman"/>
          <w:b/>
          <w:bCs/>
          <w:noProof/>
          <w:sz w:val="24"/>
          <w:szCs w:val="24"/>
          <w:lang w:val="en-IE"/>
        </w:rPr>
        <w:t>and other I</w:t>
      </w:r>
      <w:r w:rsidR="00162966">
        <w:rPr>
          <w:rFonts w:ascii="Times New Roman" w:hAnsi="Times New Roman"/>
          <w:b/>
          <w:bCs/>
          <w:noProof/>
          <w:sz w:val="24"/>
          <w:szCs w:val="24"/>
          <w:lang w:val="en-IE"/>
        </w:rPr>
        <w:t>nformation and communication technology</w:t>
      </w:r>
      <w:r w:rsidR="00162046" w:rsidRPr="004D3323">
        <w:rPr>
          <w:rFonts w:ascii="Times New Roman" w:hAnsi="Times New Roman"/>
          <w:b/>
          <w:bCs/>
          <w:noProof/>
          <w:sz w:val="24"/>
          <w:szCs w:val="24"/>
          <w:lang w:val="en-IE"/>
        </w:rPr>
        <w:t xml:space="preserve"> </w:t>
      </w:r>
      <w:r w:rsidRPr="004D3323">
        <w:rPr>
          <w:rFonts w:ascii="Times New Roman" w:hAnsi="Times New Roman"/>
          <w:b/>
          <w:bCs/>
          <w:noProof/>
          <w:sz w:val="24"/>
          <w:szCs w:val="24"/>
          <w:lang w:val="en-IE"/>
        </w:rPr>
        <w:t>practices</w:t>
      </w:r>
      <w:r w:rsidRPr="00BD00A9">
        <w:rPr>
          <w:rFonts w:ascii="Times New Roman" w:hAnsi="Times New Roman"/>
          <w:noProof/>
          <w:sz w:val="24"/>
          <w:szCs w:val="24"/>
          <w:lang w:val="en-IE"/>
        </w:rPr>
        <w:t xml:space="preserve"> in cooperation with Member States and the Council of Europe</w:t>
      </w:r>
      <w:r w:rsidRPr="00BD00A9">
        <w:rPr>
          <w:rFonts w:ascii="Times New Roman" w:hAnsi="Times New Roman"/>
          <w:noProof/>
          <w:sz w:val="24"/>
          <w:szCs w:val="24"/>
        </w:rPr>
        <w:t xml:space="preserve">. </w:t>
      </w:r>
      <w:r w:rsidRPr="00BD00A9">
        <w:rPr>
          <w:rFonts w:ascii="Times New Roman" w:hAnsi="Times New Roman" w:cs="Times New Roman"/>
          <w:noProof/>
          <w:sz w:val="24"/>
          <w:szCs w:val="24"/>
        </w:rPr>
        <w:t xml:space="preserve">The </w:t>
      </w:r>
      <w:r w:rsidR="00833EA6" w:rsidRPr="00BD00A9">
        <w:rPr>
          <w:rFonts w:ascii="Times New Roman" w:hAnsi="Times New Roman" w:cs="Times New Roman"/>
          <w:noProof/>
          <w:sz w:val="24"/>
          <w:szCs w:val="24"/>
        </w:rPr>
        <w:t>C</w:t>
      </w:r>
      <w:r w:rsidRPr="00BD00A9">
        <w:rPr>
          <w:rFonts w:ascii="Times New Roman" w:hAnsi="Times New Roman" w:cs="Times New Roman"/>
          <w:noProof/>
          <w:sz w:val="24"/>
          <w:szCs w:val="24"/>
        </w:rPr>
        <w:t xml:space="preserve">ompendium also </w:t>
      </w:r>
      <w:r w:rsidR="002F2DE9" w:rsidRPr="00BD00A9">
        <w:rPr>
          <w:rFonts w:ascii="Times New Roman" w:hAnsi="Times New Roman" w:cs="Times New Roman"/>
          <w:noProof/>
          <w:sz w:val="24"/>
          <w:szCs w:val="24"/>
        </w:rPr>
        <w:t xml:space="preserve">seeks to address the </w:t>
      </w:r>
      <w:r w:rsidR="008A371B" w:rsidRPr="00BD00A9">
        <w:rPr>
          <w:rFonts w:ascii="Times New Roman" w:hAnsi="Times New Roman" w:cs="Times New Roman"/>
          <w:noProof/>
          <w:sz w:val="24"/>
          <w:szCs w:val="24"/>
        </w:rPr>
        <w:t xml:space="preserve">needs </w:t>
      </w:r>
      <w:r w:rsidR="002F2DE9" w:rsidRPr="00BD00A9">
        <w:rPr>
          <w:rFonts w:ascii="Times New Roman" w:hAnsi="Times New Roman" w:cs="Times New Roman"/>
          <w:noProof/>
          <w:sz w:val="24"/>
          <w:szCs w:val="24"/>
        </w:rPr>
        <w:t xml:space="preserve">of persons with disabilities, fostering </w:t>
      </w:r>
      <w:r w:rsidRPr="00BD00A9">
        <w:rPr>
          <w:rFonts w:ascii="Times New Roman" w:hAnsi="Times New Roman" w:cs="Times New Roman"/>
          <w:noProof/>
          <w:sz w:val="24"/>
          <w:szCs w:val="24"/>
        </w:rPr>
        <w:t>election accessibility.</w:t>
      </w:r>
    </w:p>
    <w:p w14:paraId="307D1AF1" w14:textId="2F38F1DF" w:rsidR="005A7124" w:rsidRPr="00BD00A9" w:rsidRDefault="003531E6" w:rsidP="00950B45">
      <w:pPr>
        <w:spacing w:after="240" w:line="276" w:lineRule="auto"/>
        <w:jc w:val="both"/>
        <w:rPr>
          <w:rFonts w:ascii="Times New Roman" w:hAnsi="Times New Roman"/>
          <w:noProof/>
          <w:sz w:val="24"/>
          <w:szCs w:val="24"/>
          <w:lang w:val="en-IE"/>
        </w:rPr>
      </w:pPr>
      <w:r w:rsidRPr="00BD00A9">
        <w:rPr>
          <w:rFonts w:ascii="Times New Roman" w:hAnsi="Times New Roman"/>
          <w:noProof/>
          <w:sz w:val="24"/>
          <w:szCs w:val="24"/>
          <w:lang w:val="en-IE"/>
        </w:rPr>
        <w:t>T</w:t>
      </w:r>
      <w:r w:rsidR="36E0999D" w:rsidRPr="00BD00A9">
        <w:rPr>
          <w:rFonts w:ascii="Times New Roman" w:hAnsi="Times New Roman"/>
          <w:noProof/>
          <w:sz w:val="24"/>
          <w:szCs w:val="24"/>
          <w:lang w:val="en-IE"/>
        </w:rPr>
        <w:t>hese actions should be seen as complement</w:t>
      </w:r>
      <w:r w:rsidR="00833EA6" w:rsidRPr="00BD00A9">
        <w:rPr>
          <w:rFonts w:ascii="Times New Roman" w:hAnsi="Times New Roman"/>
          <w:noProof/>
          <w:sz w:val="24"/>
          <w:szCs w:val="24"/>
          <w:lang w:val="en-IE"/>
        </w:rPr>
        <w:t>ary to</w:t>
      </w:r>
      <w:r w:rsidR="36E0999D" w:rsidRPr="00BD00A9">
        <w:rPr>
          <w:rFonts w:ascii="Times New Roman" w:hAnsi="Times New Roman"/>
          <w:noProof/>
          <w:sz w:val="24"/>
          <w:szCs w:val="24"/>
          <w:lang w:val="en-IE"/>
        </w:rPr>
        <w:t xml:space="preserve"> other initiatives, such as the European Democracy Action Plan</w:t>
      </w:r>
      <w:r w:rsidR="00E2100E">
        <w:rPr>
          <w:rFonts w:ascii="Times New Roman" w:hAnsi="Times New Roman"/>
          <w:noProof/>
          <w:sz w:val="24"/>
          <w:szCs w:val="24"/>
          <w:lang w:val="en-IE"/>
        </w:rPr>
        <w:t xml:space="preserve">, but also the forthcoming </w:t>
      </w:r>
      <w:r w:rsidR="00E3522A">
        <w:rPr>
          <w:rFonts w:ascii="Times New Roman" w:hAnsi="Times New Roman"/>
          <w:noProof/>
          <w:sz w:val="24"/>
          <w:szCs w:val="24"/>
          <w:lang w:val="en-IE"/>
        </w:rPr>
        <w:t>‘</w:t>
      </w:r>
      <w:r w:rsidR="00E2100E">
        <w:rPr>
          <w:rFonts w:ascii="Times New Roman" w:hAnsi="Times New Roman"/>
          <w:noProof/>
          <w:sz w:val="24"/>
          <w:szCs w:val="24"/>
          <w:lang w:val="en-IE"/>
        </w:rPr>
        <w:t>Defence of Democracy</w:t>
      </w:r>
      <w:r w:rsidR="00E3522A">
        <w:rPr>
          <w:rFonts w:ascii="Times New Roman" w:hAnsi="Times New Roman"/>
          <w:noProof/>
          <w:sz w:val="24"/>
          <w:szCs w:val="24"/>
          <w:lang w:val="en-IE"/>
        </w:rPr>
        <w:t>’</w:t>
      </w:r>
      <w:r w:rsidR="00E2100E">
        <w:rPr>
          <w:rFonts w:ascii="Times New Roman" w:hAnsi="Times New Roman"/>
          <w:noProof/>
          <w:sz w:val="24"/>
          <w:szCs w:val="24"/>
          <w:lang w:val="en-IE"/>
        </w:rPr>
        <w:t xml:space="preserve"> Package</w:t>
      </w:r>
      <w:r w:rsidR="36E0999D" w:rsidRPr="00BD00A9">
        <w:rPr>
          <w:rFonts w:ascii="Times New Roman" w:hAnsi="Times New Roman"/>
          <w:noProof/>
          <w:sz w:val="24"/>
          <w:szCs w:val="24"/>
          <w:lang w:val="en-IE"/>
        </w:rPr>
        <w:t xml:space="preserve">. </w:t>
      </w:r>
    </w:p>
    <w:p w14:paraId="3B6E5225" w14:textId="49CC9DC4" w:rsidR="00531288" w:rsidRPr="00BD00A9" w:rsidRDefault="006F452E" w:rsidP="00950B45">
      <w:pPr>
        <w:spacing w:after="240" w:line="276" w:lineRule="auto"/>
        <w:jc w:val="both"/>
        <w:rPr>
          <w:rFonts w:ascii="Times New Roman" w:hAnsi="Times New Roman"/>
          <w:noProof/>
          <w:sz w:val="24"/>
          <w:szCs w:val="24"/>
          <w:lang w:val="en-IE"/>
        </w:rPr>
      </w:pPr>
      <w:r w:rsidRPr="00BD00A9">
        <w:rPr>
          <w:rFonts w:ascii="Times New Roman" w:hAnsi="Times New Roman"/>
          <w:noProof/>
          <w:sz w:val="24"/>
          <w:szCs w:val="24"/>
          <w:lang w:val="en-IE"/>
        </w:rPr>
        <w:t xml:space="preserve">This is particularly important in view of the upcoming elections </w:t>
      </w:r>
      <w:r w:rsidR="00875012" w:rsidRPr="00BD00A9">
        <w:rPr>
          <w:rFonts w:ascii="Times New Roman" w:hAnsi="Times New Roman"/>
          <w:noProof/>
          <w:sz w:val="24"/>
          <w:szCs w:val="24"/>
          <w:lang w:val="en-IE"/>
        </w:rPr>
        <w:t xml:space="preserve">to the European Parliament </w:t>
      </w:r>
      <w:r w:rsidRPr="00BD00A9">
        <w:rPr>
          <w:rFonts w:ascii="Times New Roman" w:hAnsi="Times New Roman"/>
          <w:noProof/>
          <w:sz w:val="24"/>
          <w:szCs w:val="24"/>
          <w:lang w:val="en-IE"/>
        </w:rPr>
        <w:t>in June 2024.</w:t>
      </w:r>
      <w:r w:rsidR="00531288" w:rsidRPr="00BD00A9">
        <w:rPr>
          <w:rFonts w:ascii="Times New Roman" w:hAnsi="Times New Roman"/>
          <w:noProof/>
          <w:sz w:val="24"/>
          <w:szCs w:val="24"/>
          <w:lang w:val="en-IE"/>
        </w:rPr>
        <w:t xml:space="preserve"> Empowering EU citizens</w:t>
      </w:r>
      <w:r w:rsidR="00833EA6" w:rsidRPr="00BD00A9">
        <w:rPr>
          <w:rFonts w:ascii="Times New Roman" w:hAnsi="Times New Roman"/>
          <w:noProof/>
          <w:sz w:val="24"/>
          <w:szCs w:val="24"/>
          <w:lang w:val="en-IE"/>
        </w:rPr>
        <w:t xml:space="preserve"> and</w:t>
      </w:r>
      <w:r w:rsidR="00531288" w:rsidRPr="00BD00A9">
        <w:rPr>
          <w:rFonts w:ascii="Times New Roman" w:hAnsi="Times New Roman"/>
          <w:noProof/>
          <w:sz w:val="24"/>
          <w:szCs w:val="24"/>
          <w:lang w:val="en-IE"/>
        </w:rPr>
        <w:t xml:space="preserve"> ensuring inclusive democracies and equal opportunities in elections is essential for the Commission</w:t>
      </w:r>
      <w:r w:rsidR="00C01BAD" w:rsidRPr="00BD00A9">
        <w:rPr>
          <w:rFonts w:ascii="Times New Roman" w:hAnsi="Times New Roman"/>
          <w:noProof/>
          <w:sz w:val="24"/>
          <w:szCs w:val="24"/>
          <w:lang w:val="en-IE"/>
        </w:rPr>
        <w:t>, whose democratic legitimacy is based</w:t>
      </w:r>
      <w:r w:rsidR="00355780" w:rsidRPr="00BD00A9">
        <w:rPr>
          <w:rFonts w:ascii="Times New Roman" w:hAnsi="Times New Roman"/>
          <w:noProof/>
          <w:sz w:val="24"/>
          <w:szCs w:val="24"/>
          <w:lang w:val="en-IE"/>
        </w:rPr>
        <w:t xml:space="preserve"> among others</w:t>
      </w:r>
      <w:r w:rsidR="00C01BAD" w:rsidRPr="00BD00A9">
        <w:rPr>
          <w:rFonts w:ascii="Times New Roman" w:hAnsi="Times New Roman"/>
          <w:noProof/>
          <w:sz w:val="24"/>
          <w:szCs w:val="24"/>
          <w:lang w:val="en-IE"/>
        </w:rPr>
        <w:t xml:space="preserve"> on being responsible to the European Parliament elected by EU citizens</w:t>
      </w:r>
      <w:r w:rsidR="00833EA6" w:rsidRPr="00BD00A9">
        <w:rPr>
          <w:rFonts w:ascii="Times New Roman" w:hAnsi="Times New Roman"/>
          <w:noProof/>
          <w:sz w:val="24"/>
          <w:szCs w:val="24"/>
          <w:lang w:val="en-IE"/>
        </w:rPr>
        <w:t>, under Article 17(8) of the Treaty on European Union</w:t>
      </w:r>
      <w:r w:rsidR="00531288" w:rsidRPr="00BD00A9">
        <w:rPr>
          <w:rFonts w:ascii="Times New Roman" w:hAnsi="Times New Roman"/>
          <w:noProof/>
          <w:sz w:val="24"/>
          <w:szCs w:val="24"/>
          <w:lang w:val="en-IE"/>
        </w:rPr>
        <w:t xml:space="preserve">. </w:t>
      </w:r>
      <w:r w:rsidR="00833EA6" w:rsidRPr="00BD00A9">
        <w:rPr>
          <w:rFonts w:ascii="Times New Roman" w:hAnsi="Times New Roman"/>
          <w:noProof/>
          <w:sz w:val="24"/>
          <w:szCs w:val="24"/>
          <w:lang w:val="en-IE"/>
        </w:rPr>
        <w:t>The d</w:t>
      </w:r>
      <w:r w:rsidR="00531288" w:rsidRPr="00BD00A9">
        <w:rPr>
          <w:rFonts w:ascii="Times New Roman" w:eastAsiaTheme="minorEastAsia" w:hAnsi="Times New Roman"/>
          <w:noProof/>
          <w:sz w:val="24"/>
          <w:szCs w:val="24"/>
          <w:lang w:val="en-IE" w:eastAsia="zh-CN"/>
        </w:rPr>
        <w:t xml:space="preserve">emocratic and electoral rights of all EU citizens </w:t>
      </w:r>
      <w:r w:rsidR="00674C9A" w:rsidRPr="00BD00A9">
        <w:rPr>
          <w:rFonts w:ascii="Times New Roman" w:eastAsiaTheme="minorEastAsia" w:hAnsi="Times New Roman"/>
          <w:noProof/>
          <w:sz w:val="24"/>
          <w:szCs w:val="24"/>
          <w:lang w:val="en-IE" w:eastAsia="zh-CN"/>
        </w:rPr>
        <w:t xml:space="preserve">must be </w:t>
      </w:r>
      <w:r w:rsidR="00531288" w:rsidRPr="00BD00A9">
        <w:rPr>
          <w:rFonts w:ascii="Times New Roman" w:eastAsiaTheme="minorEastAsia" w:hAnsi="Times New Roman"/>
          <w:noProof/>
          <w:sz w:val="24"/>
          <w:szCs w:val="24"/>
          <w:lang w:val="en-IE" w:eastAsia="zh-CN"/>
        </w:rPr>
        <w:t>respected and implemented</w:t>
      </w:r>
      <w:r w:rsidR="00674C9A" w:rsidRPr="00BD00A9">
        <w:rPr>
          <w:rFonts w:ascii="Times New Roman" w:eastAsiaTheme="minorEastAsia" w:hAnsi="Times New Roman"/>
          <w:noProof/>
          <w:sz w:val="24"/>
          <w:szCs w:val="24"/>
          <w:lang w:val="en-IE" w:eastAsia="zh-CN"/>
        </w:rPr>
        <w:t xml:space="preserve"> properly</w:t>
      </w:r>
      <w:r w:rsidR="00531288" w:rsidRPr="00BD00A9">
        <w:rPr>
          <w:rFonts w:ascii="Times New Roman" w:eastAsiaTheme="minorEastAsia" w:hAnsi="Times New Roman"/>
          <w:noProof/>
          <w:sz w:val="24"/>
          <w:szCs w:val="24"/>
          <w:lang w:val="en-IE" w:eastAsia="zh-CN"/>
        </w:rPr>
        <w:t>.</w:t>
      </w:r>
    </w:p>
    <w:p w14:paraId="220AA8CD" w14:textId="754ADBDB" w:rsidR="005D54C6" w:rsidRPr="00BD00A9" w:rsidRDefault="005D54C6" w:rsidP="005D54C6">
      <w:pPr>
        <w:pStyle w:val="Heading1"/>
        <w:spacing w:before="0"/>
        <w:ind w:left="432"/>
        <w:rPr>
          <w:lang w:val="en-IE"/>
        </w:rPr>
      </w:pPr>
      <w:bookmarkStart w:id="11" w:name="_Toc150854700"/>
      <w:bookmarkStart w:id="12" w:name="_Toc152502481"/>
      <w:r w:rsidRPr="00BD00A9">
        <w:rPr>
          <w:lang w:val="en-IE"/>
        </w:rPr>
        <w:t>Citizenship of the Union (Article 20(1) TFEU)</w:t>
      </w:r>
      <w:bookmarkStart w:id="13" w:name="_Hlk146296814"/>
      <w:bookmarkEnd w:id="11"/>
      <w:bookmarkEnd w:id="12"/>
    </w:p>
    <w:p w14:paraId="59585314" w14:textId="7546E135" w:rsidR="00DD25C9" w:rsidRPr="00BD00A9" w:rsidRDefault="00DD25C9" w:rsidP="00D855E4">
      <w:pPr>
        <w:pStyle w:val="Heading2"/>
        <w:spacing w:before="0"/>
        <w:rPr>
          <w:lang w:val="en-IE"/>
        </w:rPr>
      </w:pPr>
      <w:bookmarkStart w:id="14" w:name="_Toc150854701"/>
      <w:bookmarkStart w:id="15" w:name="_Toc152502482"/>
      <w:bookmarkEnd w:id="13"/>
      <w:r w:rsidRPr="00BD00A9">
        <w:rPr>
          <w:lang w:val="en-IE"/>
        </w:rPr>
        <w:t>Introduction</w:t>
      </w:r>
      <w:bookmarkEnd w:id="14"/>
      <w:bookmarkEnd w:id="15"/>
    </w:p>
    <w:p w14:paraId="798A3003" w14:textId="76302C14" w:rsidR="00DD25C9" w:rsidRPr="00BD00A9" w:rsidRDefault="00DD25C9" w:rsidP="00DD25C9">
      <w:pPr>
        <w:spacing w:after="240" w:line="276" w:lineRule="auto"/>
        <w:jc w:val="both"/>
        <w:rPr>
          <w:rFonts w:ascii="Times New Roman" w:eastAsiaTheme="minorEastAsia" w:hAnsi="Times New Roman"/>
          <w:noProof/>
          <w:sz w:val="24"/>
          <w:szCs w:val="24"/>
          <w:lang w:val="en-IE" w:eastAsia="zh-CN"/>
        </w:rPr>
      </w:pPr>
      <w:r w:rsidRPr="00BD00A9">
        <w:rPr>
          <w:rFonts w:ascii="Times New Roman" w:eastAsiaTheme="minorEastAsia" w:hAnsi="Times New Roman"/>
          <w:noProof/>
          <w:sz w:val="24"/>
          <w:szCs w:val="24"/>
          <w:lang w:val="en-IE" w:eastAsia="zh-CN"/>
        </w:rPr>
        <w:t>Article 20 TFEU provides that any person who is a national of a</w:t>
      </w:r>
      <w:r w:rsidR="00981181" w:rsidRPr="00BD00A9">
        <w:rPr>
          <w:rFonts w:ascii="Times New Roman" w:eastAsiaTheme="minorEastAsia" w:hAnsi="Times New Roman"/>
          <w:noProof/>
          <w:sz w:val="24"/>
          <w:szCs w:val="24"/>
          <w:lang w:val="en-IE" w:eastAsia="zh-CN"/>
        </w:rPr>
        <w:t xml:space="preserve"> </w:t>
      </w:r>
      <w:r w:rsidRPr="00BD00A9">
        <w:rPr>
          <w:rFonts w:ascii="Times New Roman" w:eastAsiaTheme="minorEastAsia" w:hAnsi="Times New Roman"/>
          <w:noProof/>
          <w:sz w:val="24"/>
          <w:szCs w:val="24"/>
          <w:lang w:val="en-IE" w:eastAsia="zh-CN"/>
        </w:rPr>
        <w:t>Member State is also a</w:t>
      </w:r>
      <w:r w:rsidR="00246EE6" w:rsidRPr="00BD00A9">
        <w:rPr>
          <w:rFonts w:ascii="Times New Roman" w:eastAsiaTheme="minorEastAsia" w:hAnsi="Times New Roman"/>
          <w:noProof/>
          <w:sz w:val="24"/>
          <w:szCs w:val="24"/>
          <w:lang w:val="en-IE" w:eastAsia="zh-CN"/>
        </w:rPr>
        <w:t>n EU citizen</w:t>
      </w:r>
      <w:r w:rsidRPr="00BD00A9">
        <w:rPr>
          <w:rFonts w:ascii="Times New Roman" w:eastAsiaTheme="minorEastAsia" w:hAnsi="Times New Roman"/>
          <w:noProof/>
          <w:sz w:val="24"/>
          <w:szCs w:val="24"/>
          <w:lang w:val="en-IE" w:eastAsia="zh-CN"/>
        </w:rPr>
        <w:t xml:space="preserve">. </w:t>
      </w:r>
      <w:r w:rsidR="00355780" w:rsidRPr="00BD00A9">
        <w:rPr>
          <w:rFonts w:ascii="Times New Roman" w:eastAsiaTheme="minorEastAsia" w:hAnsi="Times New Roman"/>
          <w:noProof/>
          <w:sz w:val="24"/>
          <w:szCs w:val="24"/>
          <w:lang w:val="en-IE" w:eastAsia="zh-CN"/>
        </w:rPr>
        <w:t>EU citizenship</w:t>
      </w:r>
      <w:r w:rsidRPr="00BD00A9">
        <w:rPr>
          <w:rFonts w:ascii="Times New Roman" w:eastAsiaTheme="minorEastAsia" w:hAnsi="Times New Roman"/>
          <w:noProof/>
          <w:sz w:val="24"/>
          <w:szCs w:val="24"/>
          <w:lang w:val="en-IE" w:eastAsia="zh-CN"/>
        </w:rPr>
        <w:t xml:space="preserve"> is additional to and does not replace national citizenship</w:t>
      </w:r>
      <w:r w:rsidR="00DC7B07" w:rsidRPr="00BD00A9">
        <w:rPr>
          <w:rStyle w:val="FootnoteReference"/>
          <w:rFonts w:ascii="Times New Roman" w:eastAsiaTheme="minorEastAsia" w:hAnsi="Times New Roman"/>
          <w:noProof/>
          <w:sz w:val="24"/>
          <w:szCs w:val="24"/>
          <w:lang w:val="en-IE" w:eastAsia="zh-CN"/>
        </w:rPr>
        <w:footnoteReference w:id="13"/>
      </w:r>
      <w:r w:rsidRPr="00BD00A9">
        <w:rPr>
          <w:rFonts w:ascii="Times New Roman" w:eastAsiaTheme="minorEastAsia" w:hAnsi="Times New Roman"/>
          <w:noProof/>
          <w:sz w:val="24"/>
          <w:szCs w:val="24"/>
          <w:lang w:val="en-IE" w:eastAsia="zh-CN"/>
        </w:rPr>
        <w:t xml:space="preserve">. </w:t>
      </w:r>
    </w:p>
    <w:p w14:paraId="4560E22B" w14:textId="0CAF4DFF" w:rsidR="00DD25C9" w:rsidRPr="00BD00A9" w:rsidRDefault="003474B3" w:rsidP="00DD25C9">
      <w:pPr>
        <w:spacing w:after="240" w:line="276" w:lineRule="auto"/>
        <w:jc w:val="both"/>
        <w:rPr>
          <w:rFonts w:ascii="Times New Roman" w:hAnsi="Times New Roman"/>
          <w:noProof/>
          <w:sz w:val="24"/>
          <w:szCs w:val="24"/>
          <w:lang w:val="en-IE"/>
        </w:rPr>
      </w:pPr>
      <w:r>
        <w:rPr>
          <w:rFonts w:ascii="Times New Roman" w:hAnsi="Times New Roman"/>
          <w:noProof/>
          <w:sz w:val="24"/>
          <w:szCs w:val="24"/>
          <w:lang w:val="en-IE"/>
        </w:rPr>
        <w:t>As mentioned in the introduction, the overwhelming majority of citizen</w:t>
      </w:r>
      <w:r w:rsidR="003833F9">
        <w:rPr>
          <w:rFonts w:ascii="Times New Roman" w:hAnsi="Times New Roman"/>
          <w:noProof/>
          <w:sz w:val="24"/>
          <w:szCs w:val="24"/>
          <w:lang w:val="en-IE"/>
        </w:rPr>
        <w:t>s</w:t>
      </w:r>
      <w:r>
        <w:rPr>
          <w:rFonts w:ascii="Times New Roman" w:hAnsi="Times New Roman"/>
          <w:noProof/>
          <w:sz w:val="24"/>
          <w:szCs w:val="24"/>
          <w:lang w:val="en-IE"/>
        </w:rPr>
        <w:t xml:space="preserve"> feel like citizens of the EU. T</w:t>
      </w:r>
      <w:r w:rsidR="00DD25C9" w:rsidRPr="00BD00A9">
        <w:rPr>
          <w:rFonts w:ascii="Times New Roman" w:hAnsi="Times New Roman"/>
          <w:noProof/>
          <w:sz w:val="24"/>
          <w:szCs w:val="24"/>
          <w:lang w:val="en-IE"/>
        </w:rPr>
        <w:t xml:space="preserve">he 2023 Eurobarometer on </w:t>
      </w:r>
      <w:r w:rsidR="00B325E8" w:rsidRPr="00BD00A9">
        <w:rPr>
          <w:rFonts w:ascii="Times New Roman" w:hAnsi="Times New Roman"/>
          <w:noProof/>
          <w:sz w:val="24"/>
          <w:szCs w:val="24"/>
          <w:lang w:val="en-IE"/>
        </w:rPr>
        <w:t>c</w:t>
      </w:r>
      <w:r w:rsidR="00DD25C9" w:rsidRPr="00BD00A9">
        <w:rPr>
          <w:rFonts w:ascii="Times New Roman" w:hAnsi="Times New Roman"/>
          <w:noProof/>
          <w:sz w:val="24"/>
          <w:szCs w:val="24"/>
          <w:lang w:val="en-IE"/>
        </w:rPr>
        <w:t xml:space="preserve">itizenship and </w:t>
      </w:r>
      <w:r w:rsidR="00B325E8" w:rsidRPr="00BD00A9">
        <w:rPr>
          <w:rFonts w:ascii="Times New Roman" w:hAnsi="Times New Roman"/>
          <w:noProof/>
          <w:sz w:val="24"/>
          <w:szCs w:val="24"/>
          <w:lang w:val="en-IE"/>
        </w:rPr>
        <w:t>d</w:t>
      </w:r>
      <w:r w:rsidR="00DD25C9" w:rsidRPr="00BD00A9">
        <w:rPr>
          <w:rFonts w:ascii="Times New Roman" w:hAnsi="Times New Roman"/>
          <w:noProof/>
          <w:sz w:val="24"/>
          <w:szCs w:val="24"/>
          <w:lang w:val="en-IE"/>
        </w:rPr>
        <w:t>emocracy</w:t>
      </w:r>
      <w:r>
        <w:rPr>
          <w:rFonts w:ascii="Times New Roman" w:hAnsi="Times New Roman"/>
          <w:noProof/>
          <w:sz w:val="24"/>
          <w:szCs w:val="24"/>
          <w:lang w:val="en-IE"/>
        </w:rPr>
        <w:t xml:space="preserve"> also shows that</w:t>
      </w:r>
      <w:r w:rsidR="00DD25C9" w:rsidRPr="00BD00A9">
        <w:rPr>
          <w:rFonts w:ascii="Times New Roman" w:hAnsi="Times New Roman"/>
          <w:noProof/>
          <w:sz w:val="24"/>
          <w:szCs w:val="24"/>
          <w:lang w:val="en-IE"/>
        </w:rPr>
        <w:t xml:space="preserve"> 93% of respondents know that they are simultaneously </w:t>
      </w:r>
      <w:r w:rsidR="00246EE6" w:rsidRPr="00BD00A9">
        <w:rPr>
          <w:rFonts w:ascii="Times New Roman" w:hAnsi="Times New Roman"/>
          <w:noProof/>
          <w:sz w:val="24"/>
          <w:szCs w:val="24"/>
          <w:lang w:val="en-IE"/>
        </w:rPr>
        <w:t xml:space="preserve">EU </w:t>
      </w:r>
      <w:r w:rsidR="00DD25C9" w:rsidRPr="00BD00A9">
        <w:rPr>
          <w:rFonts w:ascii="Times New Roman" w:hAnsi="Times New Roman"/>
          <w:noProof/>
          <w:sz w:val="24"/>
          <w:szCs w:val="24"/>
          <w:lang w:val="en-IE"/>
        </w:rPr>
        <w:t xml:space="preserve">citizens and </w:t>
      </w:r>
      <w:r>
        <w:rPr>
          <w:rFonts w:ascii="Times New Roman" w:hAnsi="Times New Roman"/>
          <w:noProof/>
          <w:sz w:val="24"/>
          <w:szCs w:val="24"/>
          <w:lang w:val="en-IE"/>
        </w:rPr>
        <w:t xml:space="preserve">citizens of </w:t>
      </w:r>
      <w:r w:rsidR="00DD25C9" w:rsidRPr="00BD00A9">
        <w:rPr>
          <w:rFonts w:ascii="Times New Roman" w:hAnsi="Times New Roman"/>
          <w:noProof/>
          <w:sz w:val="24"/>
          <w:szCs w:val="24"/>
          <w:lang w:val="en-IE"/>
        </w:rPr>
        <w:t xml:space="preserve">their country of residence. Somewhat </w:t>
      </w:r>
      <w:r w:rsidR="00B325E8" w:rsidRPr="00BD00A9">
        <w:rPr>
          <w:rFonts w:ascii="Times New Roman" w:hAnsi="Times New Roman"/>
          <w:noProof/>
          <w:sz w:val="24"/>
          <w:szCs w:val="24"/>
          <w:lang w:val="en-IE"/>
        </w:rPr>
        <w:t>small</w:t>
      </w:r>
      <w:r w:rsidR="00DD25C9" w:rsidRPr="00BD00A9">
        <w:rPr>
          <w:rFonts w:ascii="Times New Roman" w:hAnsi="Times New Roman"/>
          <w:noProof/>
          <w:sz w:val="24"/>
          <w:szCs w:val="24"/>
          <w:lang w:val="en-IE"/>
        </w:rPr>
        <w:t xml:space="preserve">er majorities are aware that citizens of Member States do not need to apply to become EU citizens (74%) </w:t>
      </w:r>
      <w:r w:rsidR="00B325E8" w:rsidRPr="00BD00A9">
        <w:rPr>
          <w:rFonts w:ascii="Times New Roman" w:hAnsi="Times New Roman"/>
          <w:noProof/>
          <w:sz w:val="24"/>
          <w:szCs w:val="24"/>
          <w:lang w:val="en-IE"/>
        </w:rPr>
        <w:t>and</w:t>
      </w:r>
      <w:r w:rsidR="00DD25C9" w:rsidRPr="00BD00A9">
        <w:rPr>
          <w:rFonts w:ascii="Times New Roman" w:hAnsi="Times New Roman"/>
          <w:noProof/>
          <w:sz w:val="24"/>
          <w:szCs w:val="24"/>
          <w:lang w:val="en-IE"/>
        </w:rPr>
        <w:t xml:space="preserve"> that they cannot opt out of being EU citizens (67%). </w:t>
      </w:r>
      <w:r>
        <w:rPr>
          <w:rFonts w:ascii="Times New Roman" w:hAnsi="Times New Roman"/>
          <w:noProof/>
          <w:sz w:val="24"/>
          <w:szCs w:val="24"/>
          <w:lang w:val="en-IE"/>
        </w:rPr>
        <w:t>Yet, a</w:t>
      </w:r>
      <w:r w:rsidR="00FB64D2" w:rsidRPr="00BD00A9">
        <w:rPr>
          <w:rFonts w:ascii="Times New Roman" w:hAnsi="Times New Roman"/>
          <w:noProof/>
          <w:sz w:val="24"/>
          <w:szCs w:val="24"/>
          <w:lang w:val="en-IE"/>
        </w:rPr>
        <w:t>lmost</w:t>
      </w:r>
      <w:r w:rsidR="00DD25C9" w:rsidRPr="00BD00A9">
        <w:rPr>
          <w:rFonts w:ascii="Times New Roman" w:hAnsi="Times New Roman"/>
          <w:noProof/>
          <w:sz w:val="24"/>
          <w:szCs w:val="24"/>
          <w:lang w:val="en-IE"/>
        </w:rPr>
        <w:t xml:space="preserve"> two</w:t>
      </w:r>
      <w:r w:rsidR="00B325E8" w:rsidRPr="00BD00A9">
        <w:rPr>
          <w:rFonts w:ascii="Times New Roman" w:hAnsi="Times New Roman"/>
          <w:noProof/>
          <w:sz w:val="24"/>
          <w:szCs w:val="24"/>
          <w:lang w:val="en-IE"/>
        </w:rPr>
        <w:t xml:space="preserve"> </w:t>
      </w:r>
      <w:r w:rsidR="00DD25C9" w:rsidRPr="00BD00A9">
        <w:rPr>
          <w:rFonts w:ascii="Times New Roman" w:hAnsi="Times New Roman"/>
          <w:noProof/>
          <w:sz w:val="24"/>
          <w:szCs w:val="24"/>
          <w:lang w:val="en-IE"/>
        </w:rPr>
        <w:t>thirds of respondents (64%) do not feel well</w:t>
      </w:r>
      <w:r w:rsidR="00B325E8" w:rsidRPr="00BD00A9">
        <w:rPr>
          <w:rFonts w:ascii="Times New Roman" w:hAnsi="Times New Roman"/>
          <w:noProof/>
          <w:sz w:val="24"/>
          <w:szCs w:val="24"/>
          <w:lang w:val="en-IE"/>
        </w:rPr>
        <w:t>-</w:t>
      </w:r>
      <w:r w:rsidR="00DD25C9" w:rsidRPr="00BD00A9">
        <w:rPr>
          <w:rFonts w:ascii="Times New Roman" w:hAnsi="Times New Roman"/>
          <w:noProof/>
          <w:sz w:val="24"/>
          <w:szCs w:val="24"/>
          <w:lang w:val="en-IE"/>
        </w:rPr>
        <w:t xml:space="preserve">informed about what to do if their rights as an EU citizen are not respected. Meanwhile, just over a third </w:t>
      </w:r>
      <w:r w:rsidR="00870429" w:rsidRPr="00BD00A9">
        <w:rPr>
          <w:rFonts w:ascii="Times New Roman" w:hAnsi="Times New Roman"/>
          <w:noProof/>
          <w:sz w:val="24"/>
          <w:szCs w:val="24"/>
          <w:lang w:val="en-IE"/>
        </w:rPr>
        <w:t xml:space="preserve">(35%) </w:t>
      </w:r>
      <w:r w:rsidR="00DD25C9" w:rsidRPr="00BD00A9">
        <w:rPr>
          <w:rFonts w:ascii="Times New Roman" w:hAnsi="Times New Roman"/>
          <w:noProof/>
          <w:sz w:val="24"/>
          <w:szCs w:val="24"/>
          <w:lang w:val="en-IE"/>
        </w:rPr>
        <w:t>feel either fairly well</w:t>
      </w:r>
      <w:r w:rsidR="00B325E8" w:rsidRPr="00BD00A9">
        <w:rPr>
          <w:rFonts w:ascii="Times New Roman" w:hAnsi="Times New Roman"/>
          <w:noProof/>
          <w:sz w:val="24"/>
          <w:szCs w:val="24"/>
          <w:lang w:val="en-IE"/>
        </w:rPr>
        <w:t>-</w:t>
      </w:r>
      <w:r w:rsidR="00DD25C9" w:rsidRPr="00BD00A9">
        <w:rPr>
          <w:rFonts w:ascii="Times New Roman" w:hAnsi="Times New Roman"/>
          <w:noProof/>
          <w:sz w:val="24"/>
          <w:szCs w:val="24"/>
          <w:lang w:val="en-IE"/>
        </w:rPr>
        <w:t>informed (31%) or very well</w:t>
      </w:r>
      <w:r w:rsidR="00B325E8" w:rsidRPr="00BD00A9">
        <w:rPr>
          <w:rFonts w:ascii="Times New Roman" w:hAnsi="Times New Roman"/>
          <w:noProof/>
          <w:sz w:val="24"/>
          <w:szCs w:val="24"/>
          <w:lang w:val="en-IE"/>
        </w:rPr>
        <w:t>-</w:t>
      </w:r>
      <w:r w:rsidR="00DD25C9" w:rsidRPr="00BD00A9">
        <w:rPr>
          <w:rFonts w:ascii="Times New Roman" w:hAnsi="Times New Roman"/>
          <w:noProof/>
          <w:sz w:val="24"/>
          <w:szCs w:val="24"/>
          <w:lang w:val="en-IE"/>
        </w:rPr>
        <w:t>informed (4%).</w:t>
      </w:r>
    </w:p>
    <w:p w14:paraId="5AE104B9" w14:textId="43749D87" w:rsidR="00F168BA" w:rsidRPr="00BD00A9" w:rsidRDefault="00F168BA" w:rsidP="00F168BA">
      <w:pPr>
        <w:spacing w:after="240" w:line="276" w:lineRule="auto"/>
        <w:jc w:val="both"/>
        <w:rPr>
          <w:rFonts w:ascii="Times New Roman" w:hAnsi="Times New Roman"/>
          <w:noProof/>
          <w:sz w:val="24"/>
          <w:szCs w:val="24"/>
          <w:lang w:val="en-IE"/>
        </w:rPr>
      </w:pPr>
      <w:r w:rsidRPr="00BD00A9">
        <w:rPr>
          <w:rFonts w:ascii="Times New Roman" w:hAnsi="Times New Roman"/>
          <w:noProof/>
          <w:sz w:val="24"/>
          <w:szCs w:val="24"/>
          <w:lang w:val="en-IE"/>
        </w:rPr>
        <w:t>In 2023, the European Parliament published a study</w:t>
      </w:r>
      <w:r w:rsidR="009245CD" w:rsidRPr="00BD00A9">
        <w:rPr>
          <w:rFonts w:ascii="Times New Roman" w:hAnsi="Times New Roman"/>
          <w:noProof/>
          <w:sz w:val="24"/>
          <w:szCs w:val="24"/>
          <w:lang w:val="en-IE"/>
        </w:rPr>
        <w:t xml:space="preserve"> on</w:t>
      </w:r>
      <w:r w:rsidRPr="00BD00A9">
        <w:rPr>
          <w:rFonts w:ascii="Times New Roman" w:hAnsi="Times New Roman"/>
          <w:noProof/>
          <w:sz w:val="24"/>
          <w:szCs w:val="24"/>
          <w:lang w:val="en-IE"/>
        </w:rPr>
        <w:t xml:space="preserve"> EU citizens living in the United Kingdom, to investigate their attitudes </w:t>
      </w:r>
      <w:r w:rsidR="009245CD" w:rsidRPr="00BD00A9">
        <w:rPr>
          <w:rFonts w:ascii="Times New Roman" w:hAnsi="Times New Roman"/>
          <w:noProof/>
          <w:sz w:val="24"/>
          <w:szCs w:val="24"/>
          <w:lang w:val="en-IE"/>
        </w:rPr>
        <w:t>regarding</w:t>
      </w:r>
      <w:r w:rsidRPr="00BD00A9">
        <w:rPr>
          <w:rFonts w:ascii="Times New Roman" w:hAnsi="Times New Roman"/>
          <w:noProof/>
          <w:sz w:val="24"/>
          <w:szCs w:val="24"/>
          <w:lang w:val="en-IE"/>
        </w:rPr>
        <w:t xml:space="preserve"> the EU and EU citizenship</w:t>
      </w:r>
      <w:r w:rsidRPr="00BD00A9">
        <w:rPr>
          <w:rStyle w:val="FootnoteReference"/>
          <w:rFonts w:ascii="Times New Roman" w:hAnsi="Times New Roman"/>
          <w:noProof/>
          <w:sz w:val="24"/>
          <w:szCs w:val="24"/>
          <w:lang w:val="en-IE"/>
        </w:rPr>
        <w:footnoteReference w:id="14"/>
      </w:r>
      <w:r w:rsidRPr="00BD00A9">
        <w:rPr>
          <w:rFonts w:ascii="Times New Roman" w:hAnsi="Times New Roman"/>
          <w:noProof/>
          <w:sz w:val="24"/>
          <w:szCs w:val="24"/>
          <w:lang w:val="en-IE"/>
        </w:rPr>
        <w:t xml:space="preserve">. The results showed that EU citizens living in the UK are on average more interested in and more positive about the EU than the general EU population. This positive view is also mirrored by a strong feeling of EU citizenship, as 83% of respondents say that they consider themselves EU citizens. </w:t>
      </w:r>
    </w:p>
    <w:p w14:paraId="5F4BC9D1" w14:textId="69F05DE7" w:rsidR="00DD25C9" w:rsidRPr="00BD00A9" w:rsidRDefault="00DD25C9" w:rsidP="00DD25C9">
      <w:pPr>
        <w:spacing w:after="240" w:line="276" w:lineRule="auto"/>
        <w:jc w:val="both"/>
        <w:rPr>
          <w:rFonts w:ascii="Times New Roman" w:hAnsi="Times New Roman"/>
          <w:noProof/>
          <w:sz w:val="24"/>
          <w:szCs w:val="24"/>
          <w:lang w:val="en-IE"/>
        </w:rPr>
      </w:pPr>
      <w:r w:rsidRPr="00BD00A9">
        <w:rPr>
          <w:rFonts w:ascii="Times New Roman" w:hAnsi="Times New Roman"/>
          <w:noProof/>
          <w:sz w:val="24"/>
          <w:szCs w:val="24"/>
          <w:lang w:val="en-IE"/>
        </w:rPr>
        <w:t xml:space="preserve">During the reporting period, the Commission dealt with </w:t>
      </w:r>
      <w:r w:rsidR="000B119A" w:rsidRPr="00BD00A9">
        <w:rPr>
          <w:rFonts w:ascii="Times New Roman" w:hAnsi="Times New Roman"/>
          <w:noProof/>
          <w:sz w:val="24"/>
          <w:szCs w:val="24"/>
          <w:lang w:val="en-IE"/>
        </w:rPr>
        <w:t>109</w:t>
      </w:r>
      <w:r w:rsidRPr="00BD00A9">
        <w:rPr>
          <w:rFonts w:ascii="Times New Roman" w:hAnsi="Times New Roman"/>
          <w:noProof/>
          <w:sz w:val="24"/>
          <w:szCs w:val="24"/>
          <w:lang w:val="en-IE"/>
        </w:rPr>
        <w:t xml:space="preserve"> complaints</w:t>
      </w:r>
      <w:r w:rsidR="00F91F45" w:rsidRPr="00BD00A9">
        <w:rPr>
          <w:rFonts w:ascii="Times New Roman" w:hAnsi="Times New Roman"/>
          <w:noProof/>
          <w:sz w:val="24"/>
          <w:szCs w:val="24"/>
          <w:lang w:val="en-IE"/>
        </w:rPr>
        <w:t xml:space="preserve"> and</w:t>
      </w:r>
      <w:r w:rsidRPr="00BD00A9">
        <w:rPr>
          <w:rFonts w:ascii="Times New Roman" w:hAnsi="Times New Roman"/>
          <w:noProof/>
          <w:sz w:val="24"/>
          <w:szCs w:val="24"/>
          <w:lang w:val="en-IE"/>
        </w:rPr>
        <w:t xml:space="preserve"> </w:t>
      </w:r>
      <w:r w:rsidR="003B46F1" w:rsidRPr="00BD00A9">
        <w:rPr>
          <w:rFonts w:ascii="Times New Roman" w:hAnsi="Times New Roman"/>
          <w:noProof/>
          <w:sz w:val="24"/>
          <w:szCs w:val="24"/>
          <w:lang w:val="en-IE"/>
        </w:rPr>
        <w:t>more than 70</w:t>
      </w:r>
      <w:r w:rsidRPr="00BD00A9">
        <w:rPr>
          <w:rFonts w:ascii="Times New Roman" w:hAnsi="Times New Roman"/>
          <w:noProof/>
          <w:sz w:val="24"/>
          <w:szCs w:val="24"/>
          <w:lang w:val="en-IE"/>
        </w:rPr>
        <w:t xml:space="preserve"> letters/individual queries</w:t>
      </w:r>
      <w:r w:rsidR="00F91F45" w:rsidRPr="00BD00A9">
        <w:rPr>
          <w:rFonts w:ascii="Times New Roman" w:hAnsi="Times New Roman"/>
          <w:noProof/>
          <w:sz w:val="24"/>
          <w:szCs w:val="24"/>
          <w:lang w:val="en-IE"/>
        </w:rPr>
        <w:t xml:space="preserve"> </w:t>
      </w:r>
      <w:r w:rsidR="000B119A" w:rsidRPr="00BD00A9">
        <w:rPr>
          <w:rFonts w:ascii="Times New Roman" w:hAnsi="Times New Roman"/>
          <w:noProof/>
          <w:sz w:val="24"/>
          <w:szCs w:val="24"/>
          <w:lang w:val="en-IE"/>
        </w:rPr>
        <w:t>relat</w:t>
      </w:r>
      <w:r w:rsidR="00B325E8" w:rsidRPr="00BD00A9">
        <w:rPr>
          <w:rFonts w:ascii="Times New Roman" w:hAnsi="Times New Roman"/>
          <w:noProof/>
          <w:sz w:val="24"/>
          <w:szCs w:val="24"/>
          <w:lang w:val="en-IE"/>
        </w:rPr>
        <w:t>ing</w:t>
      </w:r>
      <w:r w:rsidR="000B119A" w:rsidRPr="00BD00A9">
        <w:rPr>
          <w:rFonts w:ascii="Times New Roman" w:hAnsi="Times New Roman"/>
          <w:noProof/>
          <w:sz w:val="24"/>
          <w:szCs w:val="24"/>
          <w:lang w:val="en-IE"/>
        </w:rPr>
        <w:t xml:space="preserve"> to</w:t>
      </w:r>
      <w:r w:rsidR="00F91F45" w:rsidRPr="00BD00A9">
        <w:rPr>
          <w:rFonts w:ascii="Times New Roman" w:hAnsi="Times New Roman"/>
          <w:noProof/>
          <w:sz w:val="24"/>
          <w:szCs w:val="24"/>
          <w:lang w:val="en-IE"/>
        </w:rPr>
        <w:t xml:space="preserve"> EU citizenship.</w:t>
      </w:r>
      <w:r w:rsidRPr="00BD00A9">
        <w:rPr>
          <w:rFonts w:ascii="Times New Roman" w:hAnsi="Times New Roman"/>
          <w:noProof/>
          <w:sz w:val="24"/>
          <w:szCs w:val="24"/>
          <w:lang w:val="en-IE"/>
        </w:rPr>
        <w:t xml:space="preserve"> </w:t>
      </w:r>
      <w:r w:rsidR="00636E07" w:rsidRPr="00BD00A9">
        <w:rPr>
          <w:rFonts w:ascii="Times New Roman" w:hAnsi="Times New Roman"/>
          <w:noProof/>
          <w:sz w:val="24"/>
          <w:szCs w:val="24"/>
          <w:lang w:val="en-IE"/>
        </w:rPr>
        <w:t>These complaints were</w:t>
      </w:r>
      <w:r w:rsidR="00B325E8" w:rsidRPr="00BD00A9">
        <w:rPr>
          <w:rFonts w:ascii="Times New Roman" w:hAnsi="Times New Roman"/>
          <w:noProof/>
          <w:sz w:val="24"/>
          <w:szCs w:val="24"/>
          <w:lang w:val="en-IE"/>
        </w:rPr>
        <w:t>,</w:t>
      </w:r>
      <w:r w:rsidR="00636E07" w:rsidRPr="00BD00A9">
        <w:rPr>
          <w:rFonts w:ascii="Times New Roman" w:hAnsi="Times New Roman"/>
          <w:noProof/>
          <w:sz w:val="24"/>
          <w:szCs w:val="24"/>
          <w:lang w:val="en-IE"/>
        </w:rPr>
        <w:t xml:space="preserve"> </w:t>
      </w:r>
      <w:r w:rsidR="009320DF" w:rsidRPr="00BD00A9">
        <w:rPr>
          <w:rFonts w:ascii="Times New Roman" w:hAnsi="Times New Roman"/>
          <w:noProof/>
          <w:sz w:val="24"/>
          <w:szCs w:val="24"/>
          <w:lang w:val="en-IE"/>
        </w:rPr>
        <w:t>for example</w:t>
      </w:r>
      <w:r w:rsidR="00B325E8" w:rsidRPr="00BD00A9">
        <w:rPr>
          <w:rFonts w:ascii="Times New Roman" w:hAnsi="Times New Roman"/>
          <w:noProof/>
          <w:sz w:val="24"/>
          <w:szCs w:val="24"/>
          <w:lang w:val="en-IE"/>
        </w:rPr>
        <w:t>,</w:t>
      </w:r>
      <w:r w:rsidR="00636E07" w:rsidRPr="00BD00A9">
        <w:rPr>
          <w:rFonts w:ascii="Times New Roman" w:hAnsi="Times New Roman"/>
          <w:noProof/>
          <w:sz w:val="24"/>
          <w:szCs w:val="24"/>
          <w:lang w:val="en-IE"/>
        </w:rPr>
        <w:t xml:space="preserve"> </w:t>
      </w:r>
      <w:r w:rsidR="00B325E8" w:rsidRPr="00BD00A9">
        <w:rPr>
          <w:rFonts w:ascii="Times New Roman" w:hAnsi="Times New Roman"/>
          <w:noProof/>
          <w:sz w:val="24"/>
          <w:szCs w:val="24"/>
          <w:lang w:val="en-IE"/>
        </w:rPr>
        <w:t>about</w:t>
      </w:r>
      <w:r w:rsidR="00636E07" w:rsidRPr="00BD00A9">
        <w:rPr>
          <w:rFonts w:ascii="Times New Roman" w:hAnsi="Times New Roman"/>
          <w:noProof/>
          <w:sz w:val="24"/>
          <w:szCs w:val="24"/>
          <w:lang w:val="en-IE"/>
        </w:rPr>
        <w:t xml:space="preserve"> </w:t>
      </w:r>
      <w:r w:rsidR="009320DF" w:rsidRPr="00BD00A9">
        <w:rPr>
          <w:rFonts w:ascii="Times New Roman" w:hAnsi="Times New Roman"/>
          <w:noProof/>
          <w:sz w:val="24"/>
          <w:szCs w:val="24"/>
          <w:lang w:val="en-IE"/>
        </w:rPr>
        <w:t>dual citizenship</w:t>
      </w:r>
      <w:r w:rsidR="000B119A" w:rsidRPr="00BD00A9">
        <w:rPr>
          <w:rFonts w:ascii="Times New Roman" w:hAnsi="Times New Roman"/>
          <w:noProof/>
          <w:sz w:val="24"/>
          <w:szCs w:val="24"/>
          <w:lang w:val="en-IE"/>
        </w:rPr>
        <w:t xml:space="preserve"> or</w:t>
      </w:r>
      <w:r w:rsidR="009320DF" w:rsidRPr="00BD00A9">
        <w:rPr>
          <w:rFonts w:ascii="Times New Roman" w:hAnsi="Times New Roman"/>
          <w:noProof/>
          <w:sz w:val="24"/>
          <w:szCs w:val="24"/>
          <w:lang w:val="en-IE"/>
        </w:rPr>
        <w:t xml:space="preserve"> processing times for citizenship applications</w:t>
      </w:r>
      <w:r w:rsidR="00636E07" w:rsidRPr="00BD00A9">
        <w:rPr>
          <w:rFonts w:ascii="Times New Roman" w:hAnsi="Times New Roman"/>
          <w:noProof/>
          <w:sz w:val="24"/>
          <w:szCs w:val="24"/>
          <w:lang w:val="en-IE"/>
        </w:rPr>
        <w:t xml:space="preserve">. </w:t>
      </w:r>
      <w:r w:rsidR="00B325E8" w:rsidRPr="00BD00A9">
        <w:rPr>
          <w:rFonts w:ascii="Times New Roman" w:hAnsi="Times New Roman"/>
          <w:noProof/>
          <w:sz w:val="24"/>
          <w:szCs w:val="24"/>
          <w:lang w:val="en-IE"/>
        </w:rPr>
        <w:t>37</w:t>
      </w:r>
      <w:r w:rsidR="000B119A" w:rsidRPr="00BD00A9">
        <w:rPr>
          <w:rFonts w:ascii="Times New Roman" w:hAnsi="Times New Roman"/>
          <w:noProof/>
          <w:sz w:val="24"/>
          <w:szCs w:val="24"/>
          <w:lang w:val="en-IE"/>
        </w:rPr>
        <w:t xml:space="preserve"> of the complaints were </w:t>
      </w:r>
      <w:r w:rsidR="00B325E8" w:rsidRPr="00BD00A9">
        <w:rPr>
          <w:rFonts w:ascii="Times New Roman" w:hAnsi="Times New Roman"/>
          <w:noProof/>
          <w:sz w:val="24"/>
          <w:szCs w:val="24"/>
          <w:lang w:val="en-IE"/>
        </w:rPr>
        <w:t>about</w:t>
      </w:r>
      <w:r w:rsidR="000B119A" w:rsidRPr="00BD00A9">
        <w:rPr>
          <w:rFonts w:ascii="Times New Roman" w:hAnsi="Times New Roman"/>
          <w:noProof/>
          <w:sz w:val="24"/>
          <w:szCs w:val="24"/>
          <w:lang w:val="en-IE"/>
        </w:rPr>
        <w:t xml:space="preserve"> the impact of the EU-UK Withdrawal Agreement on citizenship rights (</w:t>
      </w:r>
      <w:r w:rsidR="000B119A" w:rsidRPr="00BD00A9">
        <w:rPr>
          <w:rFonts w:ascii="Times New Roman" w:hAnsi="Times New Roman"/>
          <w:i/>
          <w:iCs/>
          <w:noProof/>
          <w:sz w:val="24"/>
          <w:szCs w:val="24"/>
          <w:lang w:val="en-IE"/>
        </w:rPr>
        <w:t xml:space="preserve">see also </w:t>
      </w:r>
      <w:r w:rsidR="00B325E8" w:rsidRPr="00BD00A9">
        <w:rPr>
          <w:rFonts w:ascii="Times New Roman" w:hAnsi="Times New Roman"/>
          <w:i/>
          <w:iCs/>
          <w:noProof/>
          <w:sz w:val="24"/>
          <w:szCs w:val="24"/>
          <w:lang w:val="en-IE"/>
        </w:rPr>
        <w:t>S</w:t>
      </w:r>
      <w:r w:rsidR="000B119A" w:rsidRPr="00BD00A9">
        <w:rPr>
          <w:rFonts w:ascii="Times New Roman" w:hAnsi="Times New Roman"/>
          <w:i/>
          <w:iCs/>
          <w:noProof/>
          <w:sz w:val="24"/>
          <w:szCs w:val="24"/>
          <w:lang w:val="en-IE"/>
        </w:rPr>
        <w:t xml:space="preserve">ection </w:t>
      </w:r>
      <w:r w:rsidR="002F6F38" w:rsidRPr="00BD00A9">
        <w:rPr>
          <w:rFonts w:ascii="Times New Roman" w:hAnsi="Times New Roman"/>
          <w:i/>
          <w:iCs/>
          <w:noProof/>
          <w:sz w:val="24"/>
          <w:szCs w:val="24"/>
          <w:lang w:val="en-IE"/>
        </w:rPr>
        <w:t>6</w:t>
      </w:r>
      <w:r w:rsidR="000B119A" w:rsidRPr="00BD00A9">
        <w:rPr>
          <w:rFonts w:ascii="Times New Roman" w:hAnsi="Times New Roman"/>
          <w:i/>
          <w:iCs/>
          <w:noProof/>
          <w:sz w:val="24"/>
          <w:szCs w:val="24"/>
          <w:lang w:val="en-IE"/>
        </w:rPr>
        <w:t>.2.1</w:t>
      </w:r>
      <w:r w:rsidR="000B119A" w:rsidRPr="00BD00A9">
        <w:rPr>
          <w:rFonts w:ascii="Times New Roman" w:hAnsi="Times New Roman"/>
          <w:noProof/>
          <w:sz w:val="24"/>
          <w:szCs w:val="24"/>
          <w:lang w:val="en-IE"/>
        </w:rPr>
        <w:t xml:space="preserve">). </w:t>
      </w:r>
      <w:r w:rsidR="00636E07" w:rsidRPr="00BD00A9">
        <w:rPr>
          <w:rFonts w:ascii="Times New Roman" w:hAnsi="Times New Roman"/>
          <w:noProof/>
          <w:sz w:val="24"/>
          <w:szCs w:val="24"/>
          <w:lang w:val="en-IE"/>
        </w:rPr>
        <w:t>The Commission</w:t>
      </w:r>
      <w:r w:rsidR="00F91F45" w:rsidRPr="00BD00A9">
        <w:rPr>
          <w:rFonts w:ascii="Times New Roman" w:hAnsi="Times New Roman"/>
          <w:noProof/>
          <w:sz w:val="24"/>
          <w:szCs w:val="24"/>
          <w:lang w:val="en-IE"/>
        </w:rPr>
        <w:t xml:space="preserve"> also dealt with 10</w:t>
      </w:r>
      <w:r w:rsidRPr="00BD00A9">
        <w:rPr>
          <w:rFonts w:ascii="Times New Roman" w:hAnsi="Times New Roman"/>
          <w:noProof/>
          <w:sz w:val="24"/>
          <w:szCs w:val="24"/>
          <w:lang w:val="en-IE"/>
        </w:rPr>
        <w:t xml:space="preserve"> questions and </w:t>
      </w:r>
      <w:r w:rsidR="00B325E8" w:rsidRPr="00BD00A9">
        <w:rPr>
          <w:rFonts w:ascii="Times New Roman" w:hAnsi="Times New Roman"/>
          <w:noProof/>
          <w:sz w:val="24"/>
          <w:szCs w:val="24"/>
          <w:lang w:val="en-IE"/>
        </w:rPr>
        <w:t>three</w:t>
      </w:r>
      <w:r w:rsidRPr="00BD00A9">
        <w:rPr>
          <w:rFonts w:ascii="Times New Roman" w:hAnsi="Times New Roman"/>
          <w:noProof/>
          <w:sz w:val="24"/>
          <w:szCs w:val="24"/>
          <w:lang w:val="en-IE"/>
        </w:rPr>
        <w:t xml:space="preserve"> petitions from the European Parliament</w:t>
      </w:r>
      <w:r w:rsidR="00F91F45" w:rsidRPr="00BD00A9">
        <w:rPr>
          <w:rFonts w:ascii="Times New Roman" w:hAnsi="Times New Roman"/>
          <w:noProof/>
          <w:sz w:val="24"/>
          <w:szCs w:val="24"/>
          <w:lang w:val="en-IE"/>
        </w:rPr>
        <w:t xml:space="preserve"> </w:t>
      </w:r>
      <w:r w:rsidR="000B119A" w:rsidRPr="00BD00A9">
        <w:rPr>
          <w:rFonts w:ascii="Times New Roman" w:hAnsi="Times New Roman"/>
          <w:noProof/>
          <w:sz w:val="24"/>
          <w:szCs w:val="24"/>
          <w:lang w:val="en-IE"/>
        </w:rPr>
        <w:t xml:space="preserve">on EU </w:t>
      </w:r>
      <w:r w:rsidR="009245CD" w:rsidRPr="00BD00A9">
        <w:rPr>
          <w:rFonts w:ascii="Times New Roman" w:hAnsi="Times New Roman"/>
          <w:noProof/>
          <w:sz w:val="24"/>
          <w:szCs w:val="24"/>
          <w:lang w:val="en-IE"/>
        </w:rPr>
        <w:t>c</w:t>
      </w:r>
      <w:r w:rsidR="000B119A" w:rsidRPr="00BD00A9">
        <w:rPr>
          <w:rFonts w:ascii="Times New Roman" w:hAnsi="Times New Roman"/>
          <w:noProof/>
          <w:sz w:val="24"/>
          <w:szCs w:val="24"/>
          <w:lang w:val="en-IE"/>
        </w:rPr>
        <w:t>itizenship</w:t>
      </w:r>
      <w:r w:rsidRPr="00BD00A9">
        <w:rPr>
          <w:rFonts w:ascii="Times New Roman" w:hAnsi="Times New Roman"/>
          <w:noProof/>
          <w:sz w:val="24"/>
          <w:szCs w:val="24"/>
          <w:lang w:val="en-IE"/>
        </w:rPr>
        <w:t xml:space="preserve">, mainly </w:t>
      </w:r>
      <w:r w:rsidR="00B325E8" w:rsidRPr="00BD00A9">
        <w:rPr>
          <w:rFonts w:ascii="Times New Roman" w:hAnsi="Times New Roman"/>
          <w:noProof/>
          <w:sz w:val="24"/>
          <w:szCs w:val="24"/>
          <w:lang w:val="en-IE"/>
        </w:rPr>
        <w:t>on</w:t>
      </w:r>
      <w:r w:rsidR="00F91F45" w:rsidRPr="00BD00A9">
        <w:rPr>
          <w:rFonts w:ascii="Times New Roman" w:hAnsi="Times New Roman"/>
          <w:noProof/>
          <w:sz w:val="24"/>
          <w:szCs w:val="24"/>
          <w:lang w:val="en-IE"/>
        </w:rPr>
        <w:t xml:space="preserve"> </w:t>
      </w:r>
      <w:r w:rsidR="000F1408" w:rsidRPr="00BD00A9">
        <w:rPr>
          <w:rFonts w:ascii="Times New Roman" w:hAnsi="Times New Roman"/>
          <w:noProof/>
          <w:sz w:val="24"/>
          <w:szCs w:val="24"/>
          <w:lang w:val="en-IE"/>
        </w:rPr>
        <w:t>‘</w:t>
      </w:r>
      <w:r w:rsidR="00F91F45" w:rsidRPr="00BD00A9">
        <w:rPr>
          <w:rFonts w:ascii="Times New Roman" w:hAnsi="Times New Roman"/>
          <w:noProof/>
          <w:sz w:val="24"/>
          <w:szCs w:val="24"/>
          <w:lang w:val="en-IE"/>
        </w:rPr>
        <w:t>investor citizenship schemes</w:t>
      </w:r>
      <w:r w:rsidR="000F1408" w:rsidRPr="00BD00A9">
        <w:rPr>
          <w:rFonts w:ascii="Times New Roman" w:hAnsi="Times New Roman"/>
          <w:noProof/>
          <w:sz w:val="24"/>
          <w:szCs w:val="24"/>
          <w:lang w:val="en-IE"/>
        </w:rPr>
        <w:t>’</w:t>
      </w:r>
      <w:r w:rsidR="00F91F45" w:rsidRPr="00BD00A9">
        <w:rPr>
          <w:rFonts w:ascii="Times New Roman" w:hAnsi="Times New Roman"/>
          <w:noProof/>
          <w:sz w:val="24"/>
          <w:szCs w:val="24"/>
          <w:lang w:val="en-IE"/>
        </w:rPr>
        <w:t xml:space="preserve"> </w:t>
      </w:r>
      <w:r w:rsidR="00F91F45" w:rsidRPr="00BD00A9">
        <w:rPr>
          <w:rFonts w:ascii="Times New Roman" w:hAnsi="Times New Roman"/>
          <w:i/>
          <w:iCs/>
          <w:noProof/>
          <w:sz w:val="24"/>
          <w:szCs w:val="24"/>
          <w:lang w:val="en-IE"/>
        </w:rPr>
        <w:t xml:space="preserve">(see also </w:t>
      </w:r>
      <w:r w:rsidR="00B325E8" w:rsidRPr="00BD00A9">
        <w:rPr>
          <w:rFonts w:ascii="Times New Roman" w:hAnsi="Times New Roman"/>
          <w:i/>
          <w:iCs/>
          <w:noProof/>
          <w:sz w:val="24"/>
          <w:szCs w:val="24"/>
          <w:lang w:val="en-IE"/>
        </w:rPr>
        <w:t>S</w:t>
      </w:r>
      <w:r w:rsidR="00F91F45" w:rsidRPr="00BD00A9">
        <w:rPr>
          <w:rFonts w:ascii="Times New Roman" w:hAnsi="Times New Roman"/>
          <w:i/>
          <w:iCs/>
          <w:noProof/>
          <w:sz w:val="24"/>
          <w:szCs w:val="24"/>
          <w:lang w:val="en-IE"/>
        </w:rPr>
        <w:t xml:space="preserve">ection </w:t>
      </w:r>
      <w:r w:rsidR="002F6F38" w:rsidRPr="00BD00A9">
        <w:rPr>
          <w:rFonts w:ascii="Times New Roman" w:hAnsi="Times New Roman"/>
          <w:i/>
          <w:iCs/>
          <w:noProof/>
          <w:sz w:val="24"/>
          <w:szCs w:val="24"/>
          <w:lang w:val="en-IE"/>
        </w:rPr>
        <w:t>3</w:t>
      </w:r>
      <w:r w:rsidR="00F91F45" w:rsidRPr="00BD00A9">
        <w:rPr>
          <w:rFonts w:ascii="Times New Roman" w:hAnsi="Times New Roman"/>
          <w:i/>
          <w:iCs/>
          <w:noProof/>
          <w:sz w:val="24"/>
          <w:szCs w:val="24"/>
          <w:lang w:val="en-IE"/>
        </w:rPr>
        <w:t>.2.2</w:t>
      </w:r>
      <w:r w:rsidR="00F91F45" w:rsidRPr="00BD00A9">
        <w:rPr>
          <w:rFonts w:ascii="Times New Roman" w:hAnsi="Times New Roman"/>
          <w:noProof/>
          <w:sz w:val="24"/>
          <w:szCs w:val="24"/>
          <w:lang w:val="en-IE"/>
        </w:rPr>
        <w:t>)</w:t>
      </w:r>
      <w:r w:rsidRPr="00BD00A9">
        <w:rPr>
          <w:rFonts w:ascii="Times New Roman" w:hAnsi="Times New Roman"/>
          <w:noProof/>
          <w:sz w:val="24"/>
          <w:szCs w:val="24"/>
          <w:lang w:val="en-IE"/>
        </w:rPr>
        <w:t xml:space="preserve">. </w:t>
      </w:r>
    </w:p>
    <w:p w14:paraId="59E36F02" w14:textId="454F5390" w:rsidR="002768C5" w:rsidRPr="00BD00A9" w:rsidRDefault="002768C5" w:rsidP="00DD25C9">
      <w:pPr>
        <w:spacing w:after="240" w:line="276" w:lineRule="auto"/>
        <w:jc w:val="both"/>
        <w:rPr>
          <w:rFonts w:ascii="Times New Roman" w:hAnsi="Times New Roman"/>
          <w:noProof/>
          <w:sz w:val="24"/>
          <w:szCs w:val="24"/>
          <w:lang w:val="en-IE"/>
        </w:rPr>
      </w:pPr>
      <w:r w:rsidRPr="00BD00A9">
        <w:rPr>
          <w:rFonts w:ascii="Times New Roman" w:hAnsi="Times New Roman"/>
          <w:noProof/>
          <w:sz w:val="24"/>
          <w:szCs w:val="24"/>
          <w:lang w:val="en-IE"/>
        </w:rPr>
        <w:t xml:space="preserve">EU citizens can </w:t>
      </w:r>
      <w:r w:rsidR="00B325E8" w:rsidRPr="00BD00A9">
        <w:rPr>
          <w:rFonts w:ascii="Times New Roman" w:hAnsi="Times New Roman"/>
          <w:noProof/>
          <w:sz w:val="24"/>
          <w:szCs w:val="24"/>
          <w:lang w:val="en-IE"/>
        </w:rPr>
        <w:t>also send enquiries to</w:t>
      </w:r>
      <w:r w:rsidRPr="00BD00A9">
        <w:rPr>
          <w:rFonts w:ascii="Times New Roman" w:hAnsi="Times New Roman"/>
          <w:noProof/>
          <w:sz w:val="24"/>
          <w:szCs w:val="24"/>
          <w:lang w:val="en-IE"/>
        </w:rPr>
        <w:t xml:space="preserve"> the Commission’s Europe Direct </w:t>
      </w:r>
      <w:r w:rsidR="00B325E8" w:rsidRPr="00BD00A9">
        <w:rPr>
          <w:rFonts w:ascii="Times New Roman" w:hAnsi="Times New Roman"/>
          <w:noProof/>
          <w:sz w:val="24"/>
          <w:szCs w:val="24"/>
          <w:lang w:val="en-IE"/>
        </w:rPr>
        <w:t xml:space="preserve">Contact </w:t>
      </w:r>
      <w:r w:rsidRPr="00BD00A9">
        <w:rPr>
          <w:rFonts w:ascii="Times New Roman" w:hAnsi="Times New Roman"/>
          <w:noProof/>
          <w:sz w:val="24"/>
          <w:szCs w:val="24"/>
          <w:lang w:val="en-IE"/>
        </w:rPr>
        <w:t>Centre (EDCC)</w:t>
      </w:r>
      <w:r w:rsidRPr="00BD00A9">
        <w:rPr>
          <w:rStyle w:val="FootnoteReference"/>
          <w:rFonts w:ascii="Times New Roman" w:hAnsi="Times New Roman"/>
          <w:noProof/>
          <w:sz w:val="24"/>
          <w:szCs w:val="24"/>
          <w:lang w:val="en-IE"/>
        </w:rPr>
        <w:footnoteReference w:id="15"/>
      </w:r>
      <w:r w:rsidRPr="00BD00A9">
        <w:rPr>
          <w:rFonts w:ascii="Times New Roman" w:hAnsi="Times New Roman"/>
          <w:noProof/>
          <w:sz w:val="24"/>
          <w:szCs w:val="24"/>
          <w:lang w:val="en-IE"/>
        </w:rPr>
        <w:t xml:space="preserve">, which provides general information on the EU and advice on EU citizens’ rights. Between 2021 and 2023, the EDCC replied to 646 enquiries on EU </w:t>
      </w:r>
      <w:r w:rsidR="009245CD" w:rsidRPr="00BD00A9">
        <w:rPr>
          <w:rFonts w:ascii="Times New Roman" w:hAnsi="Times New Roman"/>
          <w:noProof/>
          <w:sz w:val="24"/>
          <w:szCs w:val="24"/>
          <w:lang w:val="en-IE"/>
        </w:rPr>
        <w:t>c</w:t>
      </w:r>
      <w:r w:rsidRPr="00BD00A9">
        <w:rPr>
          <w:rFonts w:ascii="Times New Roman" w:hAnsi="Times New Roman"/>
          <w:noProof/>
          <w:sz w:val="24"/>
          <w:szCs w:val="24"/>
          <w:lang w:val="en-IE"/>
        </w:rPr>
        <w:t>itizenship</w:t>
      </w:r>
      <w:r w:rsidRPr="00BD00A9">
        <w:rPr>
          <w:rStyle w:val="FootnoteReference"/>
          <w:rFonts w:ascii="Times New Roman" w:hAnsi="Times New Roman"/>
          <w:noProof/>
          <w:sz w:val="24"/>
          <w:szCs w:val="24"/>
          <w:lang w:val="en-IE"/>
        </w:rPr>
        <w:footnoteReference w:id="16"/>
      </w:r>
      <w:r w:rsidRPr="00BD00A9">
        <w:rPr>
          <w:rFonts w:ascii="Times New Roman" w:hAnsi="Times New Roman"/>
          <w:noProof/>
          <w:sz w:val="24"/>
          <w:szCs w:val="24"/>
          <w:lang w:val="en-IE"/>
        </w:rPr>
        <w:t>.</w:t>
      </w:r>
    </w:p>
    <w:p w14:paraId="0DFA881C" w14:textId="3BBCB99D" w:rsidR="005D54C6" w:rsidRPr="00BD00A9" w:rsidRDefault="005D54C6" w:rsidP="00D855E4">
      <w:pPr>
        <w:pStyle w:val="Heading2"/>
        <w:spacing w:before="0"/>
        <w:rPr>
          <w:lang w:val="en-IE"/>
        </w:rPr>
      </w:pPr>
      <w:bookmarkStart w:id="16" w:name="_Toc150854702"/>
      <w:bookmarkStart w:id="17" w:name="_Toc152502483"/>
      <w:r w:rsidRPr="00BD00A9">
        <w:rPr>
          <w:lang w:val="en-IE"/>
        </w:rPr>
        <w:t>Policy developments</w:t>
      </w:r>
      <w:bookmarkEnd w:id="16"/>
      <w:bookmarkEnd w:id="17"/>
    </w:p>
    <w:p w14:paraId="5F444029" w14:textId="4DE18907" w:rsidR="005D54C6" w:rsidRPr="00BD00A9" w:rsidRDefault="00435994" w:rsidP="005D54C6">
      <w:pPr>
        <w:pStyle w:val="Heading3"/>
        <w:rPr>
          <w:noProof/>
          <w:lang w:val="en-IE"/>
        </w:rPr>
      </w:pPr>
      <w:bookmarkStart w:id="18" w:name="_Toc150854703"/>
      <w:bookmarkStart w:id="19" w:name="_Toc152502484"/>
      <w:r w:rsidRPr="00BD00A9">
        <w:rPr>
          <w:noProof/>
          <w:lang w:val="en-IE"/>
        </w:rPr>
        <w:t>Enhancing EU citizenship rights</w:t>
      </w:r>
      <w:bookmarkEnd w:id="18"/>
      <w:bookmarkEnd w:id="19"/>
    </w:p>
    <w:p w14:paraId="100BD576" w14:textId="28C372A8" w:rsidR="00F32DAC" w:rsidRPr="00BD00A9" w:rsidRDefault="15E93319" w:rsidP="4FAC546D">
      <w:pPr>
        <w:spacing w:after="240" w:line="276" w:lineRule="auto"/>
        <w:jc w:val="both"/>
        <w:rPr>
          <w:rFonts w:ascii="Times New Roman" w:eastAsiaTheme="minorEastAsia" w:hAnsi="Times New Roman"/>
          <w:noProof/>
          <w:sz w:val="24"/>
          <w:szCs w:val="24"/>
          <w:lang w:val="en-IE" w:eastAsia="zh-CN"/>
        </w:rPr>
      </w:pPr>
      <w:r w:rsidRPr="00BD00A9">
        <w:rPr>
          <w:rFonts w:ascii="Times New Roman" w:eastAsiaTheme="minorEastAsia" w:hAnsi="Times New Roman"/>
          <w:noProof/>
          <w:sz w:val="24"/>
          <w:szCs w:val="24"/>
          <w:lang w:val="en-IE" w:eastAsia="zh-CN"/>
        </w:rPr>
        <w:t xml:space="preserve">In February 2019, the European Parliament adopted a </w:t>
      </w:r>
      <w:r w:rsidR="00B325E8" w:rsidRPr="00BD00A9">
        <w:rPr>
          <w:rFonts w:ascii="Times New Roman" w:eastAsiaTheme="minorEastAsia" w:hAnsi="Times New Roman"/>
          <w:noProof/>
          <w:sz w:val="24"/>
          <w:szCs w:val="24"/>
          <w:lang w:val="en-IE" w:eastAsia="zh-CN"/>
        </w:rPr>
        <w:t>‘</w:t>
      </w:r>
      <w:r w:rsidRPr="00BD00A9">
        <w:rPr>
          <w:rFonts w:ascii="Times New Roman" w:eastAsiaTheme="minorEastAsia" w:hAnsi="Times New Roman"/>
          <w:noProof/>
          <w:sz w:val="24"/>
          <w:szCs w:val="24"/>
          <w:lang w:val="en-IE" w:eastAsia="zh-CN"/>
        </w:rPr>
        <w:t>Resolution on the implementation of Treaty provisions related to EU citizenship</w:t>
      </w:r>
      <w:r w:rsidR="00B325E8" w:rsidRPr="00BD00A9">
        <w:rPr>
          <w:rFonts w:ascii="Times New Roman" w:eastAsiaTheme="minorEastAsia" w:hAnsi="Times New Roman"/>
          <w:noProof/>
          <w:sz w:val="24"/>
          <w:szCs w:val="24"/>
          <w:lang w:val="en-IE" w:eastAsia="zh-CN"/>
        </w:rPr>
        <w:t>’</w:t>
      </w:r>
      <w:r w:rsidR="51BB0B9B" w:rsidRPr="00BD00A9">
        <w:rPr>
          <w:rFonts w:ascii="Times New Roman" w:eastAsiaTheme="minorEastAsia" w:hAnsi="Times New Roman"/>
          <w:noProof/>
          <w:sz w:val="24"/>
          <w:szCs w:val="24"/>
          <w:lang w:val="en-IE" w:eastAsia="zh-CN"/>
        </w:rPr>
        <w:t xml:space="preserve">, </w:t>
      </w:r>
      <w:r w:rsidRPr="00BD00A9">
        <w:rPr>
          <w:rFonts w:ascii="Times New Roman" w:eastAsiaTheme="minorEastAsia" w:hAnsi="Times New Roman"/>
          <w:noProof/>
          <w:sz w:val="24"/>
          <w:szCs w:val="24"/>
          <w:lang w:val="en-IE" w:eastAsia="zh-CN"/>
        </w:rPr>
        <w:t>in which it</w:t>
      </w:r>
      <w:r w:rsidR="00B325E8" w:rsidRPr="00BD00A9">
        <w:rPr>
          <w:rFonts w:ascii="Times New Roman" w:eastAsiaTheme="minorEastAsia" w:hAnsi="Times New Roman"/>
          <w:noProof/>
          <w:sz w:val="24"/>
          <w:szCs w:val="24"/>
          <w:lang w:val="en-IE" w:eastAsia="zh-CN"/>
        </w:rPr>
        <w:t xml:space="preserve"> </w:t>
      </w:r>
      <w:r w:rsidRPr="00BD00A9">
        <w:rPr>
          <w:rFonts w:ascii="Times New Roman" w:eastAsiaTheme="minorEastAsia" w:hAnsi="Times New Roman"/>
          <w:noProof/>
          <w:sz w:val="24"/>
          <w:szCs w:val="24"/>
          <w:lang w:val="en-IE" w:eastAsia="zh-CN"/>
        </w:rPr>
        <w:t>recommended further enhanc</w:t>
      </w:r>
      <w:r w:rsidR="00B325E8" w:rsidRPr="00BD00A9">
        <w:rPr>
          <w:rFonts w:ascii="Times New Roman" w:eastAsiaTheme="minorEastAsia" w:hAnsi="Times New Roman"/>
          <w:noProof/>
          <w:sz w:val="24"/>
          <w:szCs w:val="24"/>
          <w:lang w:val="en-IE" w:eastAsia="zh-CN"/>
        </w:rPr>
        <w:t>ing</w:t>
      </w:r>
      <w:r w:rsidRPr="00BD00A9">
        <w:rPr>
          <w:rFonts w:ascii="Times New Roman" w:eastAsiaTheme="minorEastAsia" w:hAnsi="Times New Roman"/>
          <w:noProof/>
          <w:sz w:val="24"/>
          <w:szCs w:val="24"/>
          <w:lang w:val="en-IE" w:eastAsia="zh-CN"/>
        </w:rPr>
        <w:t xml:space="preserve"> EU citizens’ awareness of their rights and further consolidat</w:t>
      </w:r>
      <w:r w:rsidR="00B325E8" w:rsidRPr="00BD00A9">
        <w:rPr>
          <w:rFonts w:ascii="Times New Roman" w:eastAsiaTheme="minorEastAsia" w:hAnsi="Times New Roman"/>
          <w:noProof/>
          <w:sz w:val="24"/>
          <w:szCs w:val="24"/>
          <w:lang w:val="en-IE" w:eastAsia="zh-CN"/>
        </w:rPr>
        <w:t>ing</w:t>
      </w:r>
      <w:r w:rsidRPr="00BD00A9">
        <w:rPr>
          <w:rFonts w:ascii="Times New Roman" w:eastAsiaTheme="minorEastAsia" w:hAnsi="Times New Roman"/>
          <w:noProof/>
          <w:sz w:val="24"/>
          <w:szCs w:val="24"/>
          <w:lang w:val="en-IE" w:eastAsia="zh-CN"/>
        </w:rPr>
        <w:t xml:space="preserve"> citizen-specific rights and freedoms. </w:t>
      </w:r>
      <w:r w:rsidR="00B325E8" w:rsidRPr="00BD00A9">
        <w:rPr>
          <w:rFonts w:ascii="Times New Roman" w:eastAsiaTheme="minorEastAsia" w:hAnsi="Times New Roman"/>
          <w:noProof/>
          <w:sz w:val="24"/>
          <w:szCs w:val="24"/>
          <w:lang w:val="en-IE" w:eastAsia="zh-CN"/>
        </w:rPr>
        <w:t>In May 2022, t</w:t>
      </w:r>
      <w:r w:rsidRPr="00BD00A9">
        <w:rPr>
          <w:rFonts w:ascii="Times New Roman" w:eastAsiaTheme="minorEastAsia" w:hAnsi="Times New Roman"/>
          <w:noProof/>
          <w:sz w:val="24"/>
          <w:szCs w:val="24"/>
          <w:lang w:val="en-IE" w:eastAsia="zh-CN"/>
        </w:rPr>
        <w:t xml:space="preserve">he final Report on the Conference on the Future of Europe </w:t>
      </w:r>
      <w:r w:rsidRPr="00BD00A9">
        <w:rPr>
          <w:rFonts w:ascii="Times New Roman" w:eastAsiaTheme="minorEastAsia" w:hAnsi="Times New Roman"/>
          <w:i/>
          <w:iCs/>
          <w:noProof/>
          <w:sz w:val="24"/>
          <w:szCs w:val="24"/>
          <w:lang w:val="en-IE" w:eastAsia="zh-CN"/>
        </w:rPr>
        <w:t xml:space="preserve">(see also </w:t>
      </w:r>
      <w:r w:rsidR="00B325E8" w:rsidRPr="00BD00A9">
        <w:rPr>
          <w:rFonts w:ascii="Times New Roman" w:eastAsiaTheme="minorEastAsia" w:hAnsi="Times New Roman"/>
          <w:i/>
          <w:iCs/>
          <w:noProof/>
          <w:sz w:val="24"/>
          <w:szCs w:val="24"/>
          <w:lang w:val="en-IE" w:eastAsia="zh-CN"/>
        </w:rPr>
        <w:t>S</w:t>
      </w:r>
      <w:r w:rsidRPr="00BD00A9">
        <w:rPr>
          <w:rFonts w:ascii="Times New Roman" w:eastAsiaTheme="minorEastAsia" w:hAnsi="Times New Roman"/>
          <w:i/>
          <w:iCs/>
          <w:noProof/>
          <w:sz w:val="24"/>
          <w:szCs w:val="24"/>
          <w:lang w:val="en-IE" w:eastAsia="zh-CN"/>
        </w:rPr>
        <w:t xml:space="preserve">ection </w:t>
      </w:r>
      <w:r w:rsidR="00377CAD" w:rsidRPr="00BD00A9">
        <w:rPr>
          <w:rFonts w:ascii="Times New Roman" w:eastAsiaTheme="minorEastAsia" w:hAnsi="Times New Roman"/>
          <w:i/>
          <w:iCs/>
          <w:noProof/>
          <w:sz w:val="24"/>
          <w:szCs w:val="24"/>
          <w:lang w:val="en-IE" w:eastAsia="zh-CN"/>
        </w:rPr>
        <w:t>7</w:t>
      </w:r>
      <w:r w:rsidR="4E4F823D" w:rsidRPr="00BD00A9">
        <w:rPr>
          <w:rFonts w:ascii="Times New Roman" w:eastAsiaTheme="minorEastAsia" w:hAnsi="Times New Roman"/>
          <w:i/>
          <w:iCs/>
          <w:noProof/>
          <w:sz w:val="24"/>
          <w:szCs w:val="24"/>
          <w:lang w:val="en-IE" w:eastAsia="zh-CN"/>
        </w:rPr>
        <w:t>.2.2</w:t>
      </w:r>
      <w:r w:rsidRPr="00BD00A9">
        <w:rPr>
          <w:rFonts w:ascii="Times New Roman" w:eastAsiaTheme="minorEastAsia" w:hAnsi="Times New Roman"/>
          <w:i/>
          <w:iCs/>
          <w:noProof/>
          <w:sz w:val="24"/>
          <w:szCs w:val="24"/>
          <w:lang w:val="en-IE" w:eastAsia="zh-CN"/>
        </w:rPr>
        <w:t>)</w:t>
      </w:r>
      <w:r w:rsidRPr="00BD00A9">
        <w:rPr>
          <w:rFonts w:ascii="Times New Roman" w:eastAsiaTheme="minorEastAsia" w:hAnsi="Times New Roman"/>
          <w:noProof/>
          <w:sz w:val="24"/>
          <w:szCs w:val="24"/>
          <w:lang w:val="en-IE" w:eastAsia="zh-CN"/>
        </w:rPr>
        <w:t xml:space="preserve"> also suggested </w:t>
      </w:r>
      <w:r w:rsidR="3206A894" w:rsidRPr="00BD00A9">
        <w:rPr>
          <w:rFonts w:ascii="Times New Roman" w:eastAsiaTheme="minorEastAsia" w:hAnsi="Times New Roman"/>
          <w:noProof/>
          <w:sz w:val="24"/>
          <w:szCs w:val="24"/>
          <w:lang w:val="en-IE" w:eastAsia="zh-CN"/>
        </w:rPr>
        <w:t xml:space="preserve">several </w:t>
      </w:r>
      <w:r w:rsidRPr="00BD00A9">
        <w:rPr>
          <w:rFonts w:ascii="Times New Roman" w:eastAsiaTheme="minorEastAsia" w:hAnsi="Times New Roman"/>
          <w:noProof/>
          <w:sz w:val="24"/>
          <w:szCs w:val="24"/>
          <w:lang w:val="en-IE" w:eastAsia="zh-CN"/>
        </w:rPr>
        <w:t xml:space="preserve">actions in the field of citizenship rights, </w:t>
      </w:r>
      <w:r w:rsidR="3206A894" w:rsidRPr="00BD00A9">
        <w:rPr>
          <w:rFonts w:ascii="Times New Roman" w:eastAsiaTheme="minorEastAsia" w:hAnsi="Times New Roman"/>
          <w:noProof/>
          <w:sz w:val="24"/>
          <w:szCs w:val="24"/>
          <w:lang w:val="en-IE" w:eastAsia="zh-CN"/>
        </w:rPr>
        <w:t>including mak</w:t>
      </w:r>
      <w:r w:rsidR="00B325E8" w:rsidRPr="00BD00A9">
        <w:rPr>
          <w:rFonts w:ascii="Times New Roman" w:eastAsiaTheme="minorEastAsia" w:hAnsi="Times New Roman"/>
          <w:noProof/>
          <w:sz w:val="24"/>
          <w:szCs w:val="24"/>
          <w:lang w:val="en-IE" w:eastAsia="zh-CN"/>
        </w:rPr>
        <w:t>ing</w:t>
      </w:r>
      <w:r w:rsidR="3206A894" w:rsidRPr="00BD00A9">
        <w:rPr>
          <w:rFonts w:ascii="Times New Roman" w:eastAsiaTheme="minorEastAsia" w:hAnsi="Times New Roman"/>
          <w:noProof/>
          <w:sz w:val="24"/>
          <w:szCs w:val="24"/>
          <w:lang w:val="en-IE" w:eastAsia="zh-CN"/>
        </w:rPr>
        <w:t xml:space="preserve"> </w:t>
      </w:r>
      <w:r w:rsidR="00B325E8" w:rsidRPr="00BD00A9">
        <w:rPr>
          <w:rFonts w:ascii="Times New Roman" w:eastAsiaTheme="minorEastAsia" w:hAnsi="Times New Roman"/>
          <w:noProof/>
          <w:sz w:val="24"/>
          <w:szCs w:val="24"/>
          <w:lang w:val="en-IE" w:eastAsia="zh-CN"/>
        </w:rPr>
        <w:t>‘</w:t>
      </w:r>
      <w:r w:rsidRPr="00BD00A9">
        <w:rPr>
          <w:rFonts w:ascii="Times New Roman" w:eastAsiaTheme="minorEastAsia" w:hAnsi="Times New Roman"/>
          <w:noProof/>
          <w:sz w:val="24"/>
          <w:szCs w:val="24"/>
          <w:lang w:val="en-IE" w:eastAsia="zh-CN"/>
        </w:rPr>
        <w:t>European values tangible for EU citizens</w:t>
      </w:r>
      <w:r w:rsidR="00B325E8" w:rsidRPr="00BD00A9">
        <w:rPr>
          <w:rFonts w:ascii="Times New Roman" w:eastAsiaTheme="minorEastAsia" w:hAnsi="Times New Roman"/>
          <w:noProof/>
          <w:sz w:val="24"/>
          <w:szCs w:val="24"/>
          <w:lang w:val="en-IE" w:eastAsia="zh-CN"/>
        </w:rPr>
        <w:t>’</w:t>
      </w:r>
      <w:r w:rsidR="009C23A9" w:rsidRPr="00BD00A9">
        <w:rPr>
          <w:rFonts w:ascii="Times New Roman" w:eastAsiaTheme="minorEastAsia" w:hAnsi="Times New Roman"/>
          <w:noProof/>
          <w:sz w:val="24"/>
          <w:szCs w:val="24"/>
          <w:lang w:val="en-IE" w:eastAsia="zh-CN"/>
        </w:rPr>
        <w:t xml:space="preserve"> and strengthen</w:t>
      </w:r>
      <w:r w:rsidR="00B325E8" w:rsidRPr="00BD00A9">
        <w:rPr>
          <w:rFonts w:ascii="Times New Roman" w:eastAsiaTheme="minorEastAsia" w:hAnsi="Times New Roman"/>
          <w:noProof/>
          <w:sz w:val="24"/>
          <w:szCs w:val="24"/>
          <w:lang w:val="en-IE" w:eastAsia="zh-CN"/>
        </w:rPr>
        <w:t>ing</w:t>
      </w:r>
      <w:r w:rsidR="009C23A9" w:rsidRPr="00BD00A9">
        <w:rPr>
          <w:rFonts w:ascii="Times New Roman" w:eastAsiaTheme="minorEastAsia" w:hAnsi="Times New Roman"/>
          <w:noProof/>
          <w:sz w:val="24"/>
          <w:szCs w:val="24"/>
          <w:lang w:val="en-IE" w:eastAsia="zh-CN"/>
        </w:rPr>
        <w:t xml:space="preserve"> the European citizenship through a </w:t>
      </w:r>
      <w:r w:rsidR="00B325E8" w:rsidRPr="00BD00A9">
        <w:rPr>
          <w:rFonts w:ascii="Times New Roman" w:eastAsiaTheme="minorEastAsia" w:hAnsi="Times New Roman"/>
          <w:noProof/>
          <w:sz w:val="24"/>
          <w:szCs w:val="24"/>
          <w:lang w:val="en-IE" w:eastAsia="zh-CN"/>
        </w:rPr>
        <w:t>‘</w:t>
      </w:r>
      <w:r w:rsidR="009C23A9" w:rsidRPr="00BD00A9">
        <w:rPr>
          <w:rFonts w:ascii="Times New Roman" w:eastAsiaTheme="minorEastAsia" w:hAnsi="Times New Roman"/>
          <w:noProof/>
          <w:sz w:val="24"/>
          <w:szCs w:val="24"/>
          <w:lang w:val="en-IE" w:eastAsia="zh-CN"/>
        </w:rPr>
        <w:t xml:space="preserve">European citizenship </w:t>
      </w:r>
      <w:r w:rsidR="00B325E8" w:rsidRPr="00BD00A9">
        <w:rPr>
          <w:rFonts w:ascii="Times New Roman" w:eastAsiaTheme="minorEastAsia" w:hAnsi="Times New Roman"/>
          <w:noProof/>
          <w:sz w:val="24"/>
          <w:szCs w:val="24"/>
          <w:lang w:val="en-IE" w:eastAsia="zh-CN"/>
        </w:rPr>
        <w:t>s</w:t>
      </w:r>
      <w:r w:rsidR="009C23A9" w:rsidRPr="00BD00A9">
        <w:rPr>
          <w:rFonts w:ascii="Times New Roman" w:eastAsiaTheme="minorEastAsia" w:hAnsi="Times New Roman"/>
          <w:noProof/>
          <w:sz w:val="24"/>
          <w:szCs w:val="24"/>
          <w:lang w:val="en-IE" w:eastAsia="zh-CN"/>
        </w:rPr>
        <w:t>tatute</w:t>
      </w:r>
      <w:r w:rsidR="00B325E8" w:rsidRPr="00BD00A9">
        <w:rPr>
          <w:rFonts w:ascii="Times New Roman" w:eastAsiaTheme="minorEastAsia" w:hAnsi="Times New Roman"/>
          <w:noProof/>
          <w:sz w:val="24"/>
          <w:szCs w:val="24"/>
          <w:lang w:val="en-IE" w:eastAsia="zh-CN"/>
        </w:rPr>
        <w:t>’</w:t>
      </w:r>
      <w:r w:rsidR="00430B83" w:rsidRPr="00BD00A9">
        <w:rPr>
          <w:rStyle w:val="FootnoteReference"/>
          <w:rFonts w:ascii="Times New Roman" w:eastAsiaTheme="minorEastAsia" w:hAnsi="Times New Roman"/>
          <w:noProof/>
          <w:sz w:val="24"/>
          <w:szCs w:val="24"/>
          <w:lang w:val="en-IE" w:eastAsia="zh-CN"/>
        </w:rPr>
        <w:footnoteReference w:id="17"/>
      </w:r>
      <w:r w:rsidR="009C23A9" w:rsidRPr="00BD00A9">
        <w:rPr>
          <w:rFonts w:ascii="Times New Roman" w:eastAsiaTheme="minorEastAsia" w:hAnsi="Times New Roman"/>
          <w:noProof/>
          <w:sz w:val="24"/>
          <w:szCs w:val="24"/>
          <w:lang w:val="en-IE" w:eastAsia="zh-CN"/>
        </w:rPr>
        <w:t>.</w:t>
      </w:r>
      <w:r w:rsidRPr="00BD00A9">
        <w:rPr>
          <w:rFonts w:ascii="Times New Roman" w:eastAsiaTheme="minorEastAsia" w:hAnsi="Times New Roman"/>
          <w:noProof/>
          <w:sz w:val="24"/>
          <w:szCs w:val="24"/>
          <w:lang w:val="en-IE" w:eastAsia="zh-CN"/>
        </w:rPr>
        <w:t xml:space="preserve"> </w:t>
      </w:r>
    </w:p>
    <w:p w14:paraId="43170737" w14:textId="748CC4BE" w:rsidR="00531288" w:rsidRPr="00BD00A9" w:rsidRDefault="002F6F38" w:rsidP="00F32DAC">
      <w:pPr>
        <w:pStyle w:val="NormalWeb"/>
        <w:shd w:val="clear" w:color="auto" w:fill="FFFFFF"/>
        <w:spacing w:before="0" w:beforeAutospacing="0" w:after="120" w:afterAutospacing="0" w:line="276" w:lineRule="auto"/>
        <w:jc w:val="both"/>
        <w:rPr>
          <w:noProof/>
          <w:color w:val="1E1E1F"/>
        </w:rPr>
      </w:pPr>
      <w:r w:rsidRPr="00BD00A9">
        <w:rPr>
          <w:noProof/>
          <w:color w:val="1E1E1F"/>
        </w:rPr>
        <w:t xml:space="preserve">As explained above, delivering on its </w:t>
      </w:r>
      <w:r w:rsidR="00B325E8" w:rsidRPr="00BD00A9">
        <w:rPr>
          <w:noProof/>
          <w:color w:val="1E1E1F"/>
        </w:rPr>
        <w:t>commitment</w:t>
      </w:r>
      <w:r w:rsidRPr="00BD00A9">
        <w:rPr>
          <w:noProof/>
          <w:color w:val="1E1E1F"/>
        </w:rPr>
        <w:t xml:space="preserve"> to make EU citizenship more tangible to citizens</w:t>
      </w:r>
      <w:r w:rsidRPr="00BD00A9">
        <w:rPr>
          <w:rStyle w:val="FootnoteReference"/>
          <w:noProof/>
          <w:color w:val="1E1E1F"/>
        </w:rPr>
        <w:footnoteReference w:id="18"/>
      </w:r>
      <w:r w:rsidRPr="00BD00A9">
        <w:rPr>
          <w:noProof/>
          <w:color w:val="1E1E1F"/>
        </w:rPr>
        <w:t xml:space="preserve">, the Commission is therefore presenting a </w:t>
      </w:r>
      <w:r w:rsidR="00B325E8" w:rsidRPr="00BD00A9">
        <w:rPr>
          <w:noProof/>
          <w:color w:val="1E1E1F"/>
        </w:rPr>
        <w:t>‘</w:t>
      </w:r>
      <w:r w:rsidR="00286A3A" w:rsidRPr="00BD00A9">
        <w:rPr>
          <w:b/>
          <w:bCs/>
          <w:noProof/>
          <w:color w:val="1E1E1F"/>
        </w:rPr>
        <w:t>Guide to EU citizenship</w:t>
      </w:r>
      <w:r w:rsidR="00B325E8" w:rsidRPr="00BD00A9">
        <w:rPr>
          <w:noProof/>
          <w:color w:val="1E1E1F"/>
        </w:rPr>
        <w:t>’</w:t>
      </w:r>
      <w:r w:rsidR="00F32DAC" w:rsidRPr="00BD00A9">
        <w:rPr>
          <w:noProof/>
          <w:color w:val="1E1E1F"/>
        </w:rPr>
        <w:t xml:space="preserve">. </w:t>
      </w:r>
    </w:p>
    <w:p w14:paraId="76D8C27B" w14:textId="78233075" w:rsidR="00531288" w:rsidRPr="00BD00A9" w:rsidRDefault="00B325E8" w:rsidP="00226A4A">
      <w:pPr>
        <w:pStyle w:val="NormalWeb"/>
        <w:shd w:val="clear" w:color="auto" w:fill="FFFFFF"/>
        <w:spacing w:before="0" w:beforeAutospacing="0" w:after="120" w:afterAutospacing="0" w:line="276" w:lineRule="auto"/>
        <w:jc w:val="both"/>
        <w:rPr>
          <w:rFonts w:eastAsiaTheme="minorEastAsia"/>
          <w:noProof/>
          <w:lang w:val="en-US" w:eastAsia="zh-CN"/>
        </w:rPr>
      </w:pPr>
      <w:r w:rsidRPr="00BD00A9">
        <w:rPr>
          <w:rFonts w:eastAsiaTheme="minorEastAsia"/>
          <w:noProof/>
          <w:lang w:eastAsia="zh-CN"/>
        </w:rPr>
        <w:t>T</w:t>
      </w:r>
      <w:r w:rsidR="00531288" w:rsidRPr="00BD00A9">
        <w:rPr>
          <w:rFonts w:eastAsiaTheme="minorEastAsia"/>
          <w:noProof/>
          <w:lang w:eastAsia="zh-CN"/>
        </w:rPr>
        <w:t xml:space="preserve">o promote EU citizenship education from an early stage, the </w:t>
      </w:r>
      <w:r w:rsidR="00531288" w:rsidRPr="00BD00A9">
        <w:rPr>
          <w:rFonts w:eastAsiaTheme="minorEastAsia"/>
          <w:b/>
          <w:bCs/>
          <w:noProof/>
          <w:lang w:eastAsia="zh-CN"/>
        </w:rPr>
        <w:t>Jean Monnet actions</w:t>
      </w:r>
      <w:r w:rsidR="00531288" w:rsidRPr="00BD00A9">
        <w:rPr>
          <w:rFonts w:eastAsiaTheme="minorEastAsia"/>
          <w:noProof/>
          <w:lang w:eastAsia="zh-CN"/>
        </w:rPr>
        <w:t xml:space="preserve"> have been extended to </w:t>
      </w:r>
      <w:r w:rsidRPr="00BD00A9">
        <w:rPr>
          <w:rFonts w:eastAsiaTheme="minorEastAsia"/>
          <w:noProof/>
          <w:lang w:eastAsia="zh-CN"/>
        </w:rPr>
        <w:t>‘</w:t>
      </w:r>
      <w:r w:rsidR="00531288" w:rsidRPr="00BD00A9">
        <w:rPr>
          <w:rFonts w:eastAsiaTheme="minorEastAsia"/>
          <w:noProof/>
          <w:lang w:eastAsia="zh-CN"/>
        </w:rPr>
        <w:t>other levels of education and training</w:t>
      </w:r>
      <w:r w:rsidRPr="00BD00A9">
        <w:rPr>
          <w:rFonts w:eastAsiaTheme="minorEastAsia"/>
          <w:noProof/>
          <w:lang w:eastAsia="zh-CN"/>
        </w:rPr>
        <w:t>’</w:t>
      </w:r>
      <w:r w:rsidR="00531288" w:rsidRPr="00BD00A9">
        <w:rPr>
          <w:rFonts w:eastAsiaTheme="minorEastAsia"/>
          <w:noProof/>
          <w:lang w:eastAsia="zh-CN"/>
        </w:rPr>
        <w:t xml:space="preserve"> for the new Erasmus+ funding period. Under this new </w:t>
      </w:r>
      <w:r w:rsidRPr="00BD00A9">
        <w:rPr>
          <w:rFonts w:eastAsiaTheme="minorEastAsia"/>
          <w:noProof/>
          <w:lang w:eastAsia="zh-CN"/>
        </w:rPr>
        <w:t>‘</w:t>
      </w:r>
      <w:r w:rsidR="00531288" w:rsidRPr="00BD00A9">
        <w:rPr>
          <w:rFonts w:eastAsiaTheme="minorEastAsia"/>
          <w:noProof/>
          <w:lang w:eastAsia="zh-CN"/>
        </w:rPr>
        <w:t>Jean Monnet for Schools</w:t>
      </w:r>
      <w:r w:rsidRPr="00BD00A9">
        <w:rPr>
          <w:rFonts w:eastAsiaTheme="minorEastAsia"/>
          <w:noProof/>
          <w:lang w:eastAsia="zh-CN"/>
        </w:rPr>
        <w:t>’</w:t>
      </w:r>
      <w:r w:rsidR="00531288" w:rsidRPr="00BD00A9">
        <w:rPr>
          <w:rFonts w:eastAsiaTheme="minorEastAsia"/>
          <w:noProof/>
          <w:lang w:eastAsia="zh-CN"/>
        </w:rPr>
        <w:t xml:space="preserve"> strand, </w:t>
      </w:r>
      <w:r w:rsidRPr="00BD00A9">
        <w:rPr>
          <w:rFonts w:eastAsiaTheme="minorEastAsia"/>
          <w:noProof/>
          <w:lang w:eastAsia="zh-CN"/>
        </w:rPr>
        <w:t xml:space="preserve">the 2021 and 2022 Erasmus+ calls launched </w:t>
      </w:r>
      <w:r w:rsidR="00531288" w:rsidRPr="00BD00A9">
        <w:rPr>
          <w:rFonts w:eastAsiaTheme="minorEastAsia"/>
          <w:noProof/>
          <w:lang w:eastAsia="zh-CN"/>
        </w:rPr>
        <w:t>several activities aim</w:t>
      </w:r>
      <w:r w:rsidRPr="00BD00A9">
        <w:rPr>
          <w:rFonts w:eastAsiaTheme="minorEastAsia"/>
          <w:noProof/>
          <w:lang w:eastAsia="zh-CN"/>
        </w:rPr>
        <w:t>ed</w:t>
      </w:r>
      <w:r w:rsidR="00531288" w:rsidRPr="00BD00A9">
        <w:rPr>
          <w:rFonts w:eastAsiaTheme="minorEastAsia"/>
          <w:noProof/>
          <w:lang w:eastAsia="zh-CN"/>
        </w:rPr>
        <w:t xml:space="preserve"> at training teachers on EU issues and </w:t>
      </w:r>
      <w:r w:rsidRPr="00BD00A9">
        <w:rPr>
          <w:rFonts w:eastAsiaTheme="minorEastAsia"/>
          <w:noProof/>
          <w:lang w:eastAsia="zh-CN"/>
        </w:rPr>
        <w:t xml:space="preserve">better </w:t>
      </w:r>
      <w:r w:rsidR="00531288" w:rsidRPr="00BD00A9">
        <w:rPr>
          <w:rFonts w:eastAsiaTheme="minorEastAsia"/>
          <w:noProof/>
          <w:lang w:eastAsia="zh-CN"/>
        </w:rPr>
        <w:t>supporting learning about the EU in primary, secondary, and vocational education.</w:t>
      </w:r>
      <w:r w:rsidR="00226A4A" w:rsidRPr="00BD00A9">
        <w:rPr>
          <w:rFonts w:eastAsiaTheme="minorEastAsia"/>
          <w:noProof/>
          <w:lang w:eastAsia="zh-CN"/>
        </w:rPr>
        <w:t xml:space="preserve"> </w:t>
      </w:r>
      <w:r w:rsidR="00D62716" w:rsidRPr="00BD00A9">
        <w:rPr>
          <w:rFonts w:eastAsiaTheme="minorEastAsia"/>
          <w:noProof/>
          <w:lang w:eastAsia="zh-CN"/>
        </w:rPr>
        <w:t xml:space="preserve">The European Commission also launched the </w:t>
      </w:r>
      <w:r w:rsidR="00171282" w:rsidRPr="00BD00A9">
        <w:rPr>
          <w:rFonts w:eastAsiaTheme="minorEastAsia"/>
          <w:noProof/>
          <w:lang w:eastAsia="zh-CN"/>
        </w:rPr>
        <w:t>‘</w:t>
      </w:r>
      <w:r w:rsidR="00D62716" w:rsidRPr="00BD00A9">
        <w:rPr>
          <w:rFonts w:eastAsiaTheme="minorEastAsia"/>
          <w:noProof/>
          <w:lang w:eastAsia="zh-CN"/>
        </w:rPr>
        <w:t>EU democracy in action - Have your say with the European Citizens' Initiative</w:t>
      </w:r>
      <w:r w:rsidR="00171282" w:rsidRPr="00BD00A9">
        <w:rPr>
          <w:rFonts w:eastAsiaTheme="minorEastAsia"/>
          <w:noProof/>
          <w:lang w:eastAsia="zh-CN"/>
        </w:rPr>
        <w:t>’</w:t>
      </w:r>
      <w:r w:rsidR="00870429" w:rsidRPr="00BD00A9">
        <w:rPr>
          <w:rStyle w:val="FootnoteReference"/>
          <w:rFonts w:eastAsiaTheme="minorEastAsia"/>
          <w:noProof/>
          <w:lang w:eastAsia="zh-CN"/>
        </w:rPr>
        <w:footnoteReference w:id="19"/>
      </w:r>
      <w:r w:rsidR="00D62716" w:rsidRPr="00BD00A9">
        <w:rPr>
          <w:rFonts w:eastAsiaTheme="minorEastAsia"/>
          <w:noProof/>
          <w:lang w:eastAsia="zh-CN"/>
        </w:rPr>
        <w:t xml:space="preserve"> toolkit for secondary schools, enabling young people to learn about and develop </w:t>
      </w:r>
      <w:r w:rsidR="00171282" w:rsidRPr="00BD00A9">
        <w:rPr>
          <w:rFonts w:eastAsiaTheme="minorEastAsia"/>
          <w:noProof/>
          <w:lang w:eastAsia="zh-CN"/>
        </w:rPr>
        <w:t xml:space="preserve">the </w:t>
      </w:r>
      <w:r w:rsidR="00D62716" w:rsidRPr="00BD00A9">
        <w:rPr>
          <w:rFonts w:eastAsiaTheme="minorEastAsia"/>
          <w:noProof/>
          <w:lang w:eastAsia="zh-CN"/>
        </w:rPr>
        <w:t xml:space="preserve">skills </w:t>
      </w:r>
      <w:r w:rsidR="00171282" w:rsidRPr="00BD00A9">
        <w:rPr>
          <w:rFonts w:eastAsiaTheme="minorEastAsia"/>
          <w:noProof/>
          <w:lang w:eastAsia="zh-CN"/>
        </w:rPr>
        <w:t>they need</w:t>
      </w:r>
      <w:r w:rsidR="00D62716" w:rsidRPr="00BD00A9">
        <w:rPr>
          <w:rFonts w:eastAsiaTheme="minorEastAsia"/>
          <w:noProof/>
          <w:lang w:eastAsia="zh-CN"/>
        </w:rPr>
        <w:t xml:space="preserve"> to be active EU citizens. </w:t>
      </w:r>
      <w:r w:rsidR="00531288" w:rsidRPr="00BD00A9">
        <w:rPr>
          <w:rFonts w:eastAsiaTheme="minorEastAsia"/>
          <w:b/>
          <w:bCs/>
          <w:noProof/>
          <w:lang w:val="en-US" w:eastAsia="zh-CN"/>
        </w:rPr>
        <w:t>Erasmus+ and the European Solidarity Corps</w:t>
      </w:r>
      <w:r w:rsidR="00531288" w:rsidRPr="00BD00A9">
        <w:rPr>
          <w:rFonts w:eastAsiaTheme="minorEastAsia"/>
          <w:noProof/>
          <w:lang w:val="en-US" w:eastAsia="zh-CN"/>
        </w:rPr>
        <w:t>, the two flagship EU programmes supporting youth, continue to strengthen European identity and active citizenship among young people through relevant volunteering, educational and professional activities.</w:t>
      </w:r>
    </w:p>
    <w:p w14:paraId="66E69C20" w14:textId="44BCA6BB" w:rsidR="00226A4A" w:rsidRPr="00BD00A9" w:rsidRDefault="00171282" w:rsidP="4FAC546D">
      <w:pPr>
        <w:pStyle w:val="NormalWeb"/>
        <w:shd w:val="clear" w:color="auto" w:fill="FFFFFF" w:themeFill="background1"/>
        <w:spacing w:before="0" w:beforeAutospacing="0" w:after="120" w:afterAutospacing="0" w:line="276" w:lineRule="auto"/>
        <w:jc w:val="both"/>
        <w:rPr>
          <w:rFonts w:eastAsiaTheme="minorEastAsia"/>
          <w:noProof/>
          <w:lang w:eastAsia="zh-CN"/>
        </w:rPr>
      </w:pPr>
      <w:r w:rsidRPr="00BD00A9">
        <w:rPr>
          <w:rFonts w:eastAsiaTheme="minorEastAsia"/>
          <w:noProof/>
          <w:lang w:val="en-US" w:eastAsia="zh-CN"/>
        </w:rPr>
        <w:t>In</w:t>
      </w:r>
      <w:r w:rsidR="1C2219AC" w:rsidRPr="00BD00A9">
        <w:rPr>
          <w:rFonts w:eastAsiaTheme="minorEastAsia"/>
          <w:noProof/>
          <w:lang w:val="en-US" w:eastAsia="zh-CN"/>
        </w:rPr>
        <w:t xml:space="preserve"> </w:t>
      </w:r>
      <w:r w:rsidR="001364DC" w:rsidRPr="00BD00A9">
        <w:rPr>
          <w:rFonts w:eastAsiaTheme="minorEastAsia"/>
          <w:noProof/>
          <w:lang w:val="en-US" w:eastAsia="zh-CN"/>
        </w:rPr>
        <w:t>w</w:t>
      </w:r>
      <w:r w:rsidR="00430B83" w:rsidRPr="00BD00A9">
        <w:rPr>
          <w:rFonts w:eastAsiaTheme="minorEastAsia"/>
          <w:noProof/>
          <w:lang w:val="en-US" w:eastAsia="zh-CN"/>
        </w:rPr>
        <w:t xml:space="preserve">inter </w:t>
      </w:r>
      <w:r w:rsidR="1C2219AC" w:rsidRPr="00BD00A9">
        <w:rPr>
          <w:rFonts w:eastAsiaTheme="minorEastAsia"/>
          <w:noProof/>
          <w:lang w:val="en-US" w:eastAsia="zh-CN"/>
        </w:rPr>
        <w:t xml:space="preserve">2023, the Commission </w:t>
      </w:r>
      <w:r w:rsidR="001364DC" w:rsidRPr="00BD00A9">
        <w:rPr>
          <w:rFonts w:eastAsiaTheme="minorEastAsia"/>
          <w:noProof/>
          <w:lang w:val="en-US" w:eastAsia="zh-CN"/>
        </w:rPr>
        <w:t>is also carrying</w:t>
      </w:r>
      <w:r w:rsidR="1C2219AC" w:rsidRPr="00BD00A9">
        <w:rPr>
          <w:rFonts w:eastAsiaTheme="minorEastAsia"/>
          <w:noProof/>
          <w:lang w:val="en-US" w:eastAsia="zh-CN"/>
        </w:rPr>
        <w:t xml:space="preserve"> out a </w:t>
      </w:r>
      <w:r w:rsidR="1C2219AC" w:rsidRPr="00BD00A9">
        <w:rPr>
          <w:rFonts w:eastAsiaTheme="minorEastAsia"/>
          <w:b/>
          <w:bCs/>
          <w:noProof/>
          <w:lang w:val="en-US" w:eastAsia="zh-CN"/>
        </w:rPr>
        <w:t>communication campaign celebrating the 30</w:t>
      </w:r>
      <w:r w:rsidR="1C2219AC" w:rsidRPr="00BD00A9">
        <w:rPr>
          <w:rFonts w:eastAsiaTheme="minorEastAsia"/>
          <w:b/>
          <w:bCs/>
          <w:noProof/>
          <w:vertAlign w:val="superscript"/>
          <w:lang w:val="en-US" w:eastAsia="zh-CN"/>
        </w:rPr>
        <w:t>th</w:t>
      </w:r>
      <w:r w:rsidR="1C2219AC" w:rsidRPr="00BD00A9">
        <w:rPr>
          <w:rFonts w:eastAsiaTheme="minorEastAsia"/>
          <w:b/>
          <w:bCs/>
          <w:noProof/>
          <w:lang w:val="en-US" w:eastAsia="zh-CN"/>
        </w:rPr>
        <w:t xml:space="preserve"> anniversary of EU </w:t>
      </w:r>
      <w:r w:rsidRPr="00BD00A9">
        <w:rPr>
          <w:rFonts w:eastAsiaTheme="minorEastAsia"/>
          <w:b/>
          <w:bCs/>
          <w:noProof/>
          <w:lang w:val="en-US" w:eastAsia="zh-CN"/>
        </w:rPr>
        <w:t>c</w:t>
      </w:r>
      <w:r w:rsidR="1C2219AC" w:rsidRPr="00BD00A9">
        <w:rPr>
          <w:rFonts w:eastAsiaTheme="minorEastAsia"/>
          <w:b/>
          <w:bCs/>
          <w:noProof/>
          <w:lang w:val="en-US" w:eastAsia="zh-CN"/>
        </w:rPr>
        <w:t>itizenship</w:t>
      </w:r>
      <w:r w:rsidR="1C2219AC" w:rsidRPr="00BD00A9">
        <w:rPr>
          <w:rFonts w:eastAsiaTheme="minorEastAsia"/>
          <w:noProof/>
          <w:lang w:val="en-US" w:eastAsia="zh-CN"/>
        </w:rPr>
        <w:t>, to further raise awareness and understanding among EU citizens of the rights they have</w:t>
      </w:r>
      <w:r w:rsidR="6D2665B7" w:rsidRPr="00BD00A9">
        <w:rPr>
          <w:rFonts w:eastAsiaTheme="minorEastAsia"/>
          <w:noProof/>
          <w:lang w:val="en-US" w:eastAsia="zh-CN"/>
        </w:rPr>
        <w:t>,</w:t>
      </w:r>
      <w:r w:rsidR="1C2219AC" w:rsidRPr="00BD00A9">
        <w:rPr>
          <w:rFonts w:eastAsiaTheme="minorEastAsia"/>
          <w:noProof/>
          <w:lang w:val="en-US" w:eastAsia="zh-CN"/>
        </w:rPr>
        <w:t xml:space="preserve"> and </w:t>
      </w:r>
      <w:r w:rsidRPr="00BD00A9">
        <w:rPr>
          <w:rFonts w:eastAsiaTheme="minorEastAsia"/>
          <w:noProof/>
          <w:lang w:val="en-US" w:eastAsia="zh-CN"/>
        </w:rPr>
        <w:t xml:space="preserve">to </w:t>
      </w:r>
      <w:r w:rsidR="001364DC" w:rsidRPr="00BD00A9">
        <w:rPr>
          <w:rFonts w:eastAsiaTheme="minorEastAsia"/>
          <w:noProof/>
          <w:lang w:val="en-US" w:eastAsia="zh-CN"/>
        </w:rPr>
        <w:t xml:space="preserve">highlight </w:t>
      </w:r>
      <w:r w:rsidR="1C2219AC" w:rsidRPr="00BD00A9">
        <w:rPr>
          <w:rFonts w:eastAsiaTheme="minorEastAsia"/>
          <w:noProof/>
          <w:lang w:val="en-US" w:eastAsia="zh-CN"/>
        </w:rPr>
        <w:t xml:space="preserve">the key milestones related to </w:t>
      </w:r>
      <w:r w:rsidR="00430B83" w:rsidRPr="00BD00A9">
        <w:rPr>
          <w:rFonts w:eastAsiaTheme="minorEastAsia"/>
          <w:noProof/>
          <w:lang w:val="en-US" w:eastAsia="zh-CN"/>
        </w:rPr>
        <w:t xml:space="preserve">EU </w:t>
      </w:r>
      <w:r w:rsidR="1C2219AC" w:rsidRPr="00BD00A9">
        <w:rPr>
          <w:rFonts w:eastAsiaTheme="minorEastAsia"/>
          <w:noProof/>
          <w:lang w:val="en-US" w:eastAsia="zh-CN"/>
        </w:rPr>
        <w:t xml:space="preserve">citizenship </w:t>
      </w:r>
      <w:r w:rsidRPr="00BD00A9">
        <w:rPr>
          <w:rFonts w:eastAsiaTheme="minorEastAsia"/>
          <w:noProof/>
          <w:lang w:val="en-US" w:eastAsia="zh-CN"/>
        </w:rPr>
        <w:t>of</w:t>
      </w:r>
      <w:r w:rsidR="1C2219AC" w:rsidRPr="00BD00A9">
        <w:rPr>
          <w:rFonts w:eastAsiaTheme="minorEastAsia"/>
          <w:noProof/>
          <w:lang w:val="en-US" w:eastAsia="zh-CN"/>
        </w:rPr>
        <w:t xml:space="preserve"> the last 30 years. The campaign include</w:t>
      </w:r>
      <w:r w:rsidR="000F1408" w:rsidRPr="00BD00A9">
        <w:rPr>
          <w:rFonts w:eastAsiaTheme="minorEastAsia"/>
          <w:noProof/>
          <w:lang w:val="en-US" w:eastAsia="zh-CN"/>
        </w:rPr>
        <w:t>s</w:t>
      </w:r>
      <w:r w:rsidR="1C2219AC" w:rsidRPr="00BD00A9">
        <w:rPr>
          <w:rFonts w:eastAsiaTheme="minorEastAsia"/>
          <w:noProof/>
          <w:lang w:val="en-US" w:eastAsia="zh-CN"/>
        </w:rPr>
        <w:t xml:space="preserve"> an online event</w:t>
      </w:r>
      <w:r w:rsidR="00226A4A" w:rsidRPr="00BD00A9">
        <w:rPr>
          <w:rStyle w:val="FootnoteReference"/>
          <w:rFonts w:eastAsiaTheme="minorEastAsia"/>
          <w:noProof/>
          <w:lang w:val="en-US" w:eastAsia="zh-CN"/>
        </w:rPr>
        <w:footnoteReference w:id="20"/>
      </w:r>
      <w:r w:rsidR="1C2219AC" w:rsidRPr="00BD00A9">
        <w:rPr>
          <w:rFonts w:eastAsiaTheme="minorEastAsia"/>
          <w:noProof/>
          <w:lang w:val="en-US" w:eastAsia="zh-CN"/>
        </w:rPr>
        <w:t xml:space="preserve"> and a targeted social media campaign in certain focus countries where </w:t>
      </w:r>
      <w:r w:rsidR="00A247C2" w:rsidRPr="00BD00A9">
        <w:rPr>
          <w:rFonts w:eastAsiaTheme="minorEastAsia"/>
          <w:noProof/>
          <w:lang w:val="en-US" w:eastAsia="zh-CN"/>
        </w:rPr>
        <w:t xml:space="preserve">young </w:t>
      </w:r>
      <w:r w:rsidR="1C2219AC" w:rsidRPr="00BD00A9">
        <w:rPr>
          <w:rFonts w:eastAsiaTheme="minorEastAsia"/>
          <w:noProof/>
          <w:lang w:val="en-US" w:eastAsia="zh-CN"/>
        </w:rPr>
        <w:t>citizens do</w:t>
      </w:r>
      <w:r w:rsidR="001364DC" w:rsidRPr="00BD00A9">
        <w:rPr>
          <w:rFonts w:eastAsiaTheme="minorEastAsia"/>
          <w:noProof/>
          <w:lang w:val="en-US" w:eastAsia="zh-CN"/>
        </w:rPr>
        <w:t xml:space="preserve"> not</w:t>
      </w:r>
      <w:r w:rsidR="1C2219AC" w:rsidRPr="00BD00A9">
        <w:rPr>
          <w:rFonts w:eastAsiaTheme="minorEastAsia"/>
          <w:noProof/>
          <w:lang w:val="en-US" w:eastAsia="zh-CN"/>
        </w:rPr>
        <w:t xml:space="preserve"> feel well-informed about their EU citizen</w:t>
      </w:r>
      <w:r w:rsidR="00A247C2" w:rsidRPr="00BD00A9">
        <w:rPr>
          <w:rFonts w:eastAsiaTheme="minorEastAsia"/>
          <w:noProof/>
          <w:lang w:val="en-US" w:eastAsia="zh-CN"/>
        </w:rPr>
        <w:t>ship</w:t>
      </w:r>
      <w:r w:rsidR="1C2219AC" w:rsidRPr="00BD00A9">
        <w:rPr>
          <w:rFonts w:eastAsiaTheme="minorEastAsia"/>
          <w:noProof/>
          <w:lang w:val="en-US" w:eastAsia="zh-CN"/>
        </w:rPr>
        <w:t xml:space="preserve"> rights</w:t>
      </w:r>
      <w:r w:rsidR="00226A4A" w:rsidRPr="00BD00A9">
        <w:rPr>
          <w:rStyle w:val="FootnoteReference"/>
          <w:rFonts w:eastAsiaTheme="minorEastAsia"/>
          <w:noProof/>
          <w:lang w:val="en-US" w:eastAsia="zh-CN"/>
        </w:rPr>
        <w:footnoteReference w:id="21"/>
      </w:r>
      <w:r w:rsidR="1C2219AC" w:rsidRPr="00BD00A9">
        <w:rPr>
          <w:rFonts w:eastAsiaTheme="minorEastAsia"/>
          <w:noProof/>
          <w:lang w:val="en-US" w:eastAsia="zh-CN"/>
        </w:rPr>
        <w:t>.</w:t>
      </w:r>
      <w:r w:rsidR="00A247C2" w:rsidRPr="00BD00A9">
        <w:rPr>
          <w:rFonts w:eastAsiaTheme="minorEastAsia"/>
          <w:noProof/>
          <w:lang w:val="en-US" w:eastAsia="zh-CN"/>
        </w:rPr>
        <w:t xml:space="preserve"> With the tagline ‘Move, Vote, Speak up’, the campaign raises awareness in particular on the right to move and reside in another Member State, the right to vote in </w:t>
      </w:r>
      <w:r w:rsidR="00875012" w:rsidRPr="00BD00A9">
        <w:rPr>
          <w:rFonts w:eastAsiaTheme="minorEastAsia"/>
          <w:noProof/>
          <w:lang w:val="en-US" w:eastAsia="zh-CN"/>
        </w:rPr>
        <w:t xml:space="preserve">elections to the </w:t>
      </w:r>
      <w:r w:rsidR="00A247C2" w:rsidRPr="00BD00A9">
        <w:rPr>
          <w:rFonts w:eastAsiaTheme="minorEastAsia"/>
          <w:noProof/>
          <w:lang w:val="en-US" w:eastAsia="zh-CN"/>
        </w:rPr>
        <w:t>European Parliament and municipal elections, and the right to participate in a European Citizens’ Initiative.</w:t>
      </w:r>
    </w:p>
    <w:p w14:paraId="34F48DD4" w14:textId="6F61F1FC" w:rsidR="00DC7B07" w:rsidRPr="00BD00A9" w:rsidRDefault="00DC70E1" w:rsidP="4FAC546D">
      <w:pPr>
        <w:pStyle w:val="NormalWeb"/>
        <w:shd w:val="clear" w:color="auto" w:fill="FFFFFF" w:themeFill="background1"/>
        <w:spacing w:before="0" w:beforeAutospacing="0" w:after="120" w:afterAutospacing="0" w:line="276" w:lineRule="auto"/>
        <w:jc w:val="both"/>
        <w:rPr>
          <w:rFonts w:eastAsiaTheme="minorEastAsia"/>
          <w:noProof/>
          <w:lang w:eastAsia="zh-CN"/>
        </w:rPr>
      </w:pPr>
      <w:r w:rsidRPr="00BD00A9">
        <w:rPr>
          <w:rFonts w:eastAsiaTheme="minorEastAsia"/>
          <w:noProof/>
          <w:lang w:eastAsia="zh-CN"/>
        </w:rPr>
        <w:t xml:space="preserve">In addition, </w:t>
      </w:r>
      <w:r w:rsidR="00F90CF6" w:rsidRPr="00BD00A9">
        <w:rPr>
          <w:rFonts w:eastAsiaTheme="minorEastAsia"/>
          <w:noProof/>
          <w:lang w:eastAsia="zh-CN"/>
        </w:rPr>
        <w:t xml:space="preserve">the Commission’s </w:t>
      </w:r>
      <w:r w:rsidR="00171282" w:rsidRPr="00BD00A9">
        <w:rPr>
          <w:rFonts w:eastAsiaTheme="minorEastAsia"/>
          <w:noProof/>
          <w:lang w:eastAsia="zh-CN"/>
        </w:rPr>
        <w:t>C</w:t>
      </w:r>
      <w:r w:rsidR="00F90CF6" w:rsidRPr="00BD00A9">
        <w:rPr>
          <w:rFonts w:eastAsiaTheme="minorEastAsia"/>
          <w:noProof/>
          <w:lang w:eastAsia="zh-CN"/>
        </w:rPr>
        <w:t xml:space="preserve">ommunication </w:t>
      </w:r>
      <w:r w:rsidR="00171282" w:rsidRPr="00BD00A9">
        <w:rPr>
          <w:rFonts w:eastAsiaTheme="minorEastAsia"/>
          <w:noProof/>
          <w:lang w:eastAsia="zh-CN"/>
        </w:rPr>
        <w:t>‘</w:t>
      </w:r>
      <w:r w:rsidR="00F90CF6" w:rsidRPr="00BD00A9">
        <w:rPr>
          <w:rFonts w:eastAsiaTheme="minorEastAsia"/>
          <w:noProof/>
          <w:lang w:eastAsia="zh-CN"/>
        </w:rPr>
        <w:t>Digital compass 2030: a European way forward for the digital decade</w:t>
      </w:r>
      <w:r w:rsidR="00171282" w:rsidRPr="00BD00A9">
        <w:rPr>
          <w:rFonts w:eastAsiaTheme="minorEastAsia"/>
          <w:noProof/>
          <w:lang w:eastAsia="zh-CN"/>
        </w:rPr>
        <w:t>’</w:t>
      </w:r>
      <w:r w:rsidR="00F90CF6" w:rsidRPr="00BD00A9">
        <w:rPr>
          <w:rStyle w:val="FootnoteReference"/>
          <w:rFonts w:eastAsiaTheme="minorEastAsia"/>
          <w:noProof/>
          <w:lang w:eastAsia="zh-CN"/>
        </w:rPr>
        <w:footnoteReference w:id="22"/>
      </w:r>
      <w:r w:rsidR="00F90CF6" w:rsidRPr="00BD00A9">
        <w:rPr>
          <w:rFonts w:eastAsiaTheme="minorEastAsia"/>
          <w:noProof/>
          <w:lang w:eastAsia="zh-CN"/>
        </w:rPr>
        <w:t xml:space="preserve"> of 9 March 2021 presented the vision for a digitally transformed Europe by 2030</w:t>
      </w:r>
      <w:r w:rsidR="00171282" w:rsidRPr="00BD00A9">
        <w:rPr>
          <w:rFonts w:eastAsiaTheme="minorEastAsia"/>
          <w:noProof/>
          <w:lang w:eastAsia="zh-CN"/>
        </w:rPr>
        <w:t>,</w:t>
      </w:r>
      <w:r w:rsidR="00F90CF6" w:rsidRPr="00BD00A9">
        <w:rPr>
          <w:rFonts w:eastAsiaTheme="minorEastAsia"/>
          <w:noProof/>
          <w:lang w:eastAsia="zh-CN"/>
        </w:rPr>
        <w:t xml:space="preserve"> in line with European values. </w:t>
      </w:r>
      <w:r w:rsidR="00DB0862">
        <w:rPr>
          <w:rFonts w:eastAsiaTheme="minorEastAsia"/>
          <w:noProof/>
          <w:lang w:eastAsia="zh-CN"/>
        </w:rPr>
        <w:t xml:space="preserve">It </w:t>
      </w:r>
      <w:r w:rsidR="00DB0862" w:rsidRPr="00D31758">
        <w:rPr>
          <w:rFonts w:eastAsiaTheme="minorEastAsia"/>
          <w:noProof/>
          <w:lang w:val="en-US" w:eastAsia="zh-CN"/>
        </w:rPr>
        <w:t>was translated in a Decision</w:t>
      </w:r>
      <w:r w:rsidR="00DB0862" w:rsidRPr="00D31758">
        <w:rPr>
          <w:rFonts w:eastAsiaTheme="minorEastAsia"/>
          <w:noProof/>
          <w:vertAlign w:val="superscript"/>
          <w:lang w:val="en-US" w:eastAsia="zh-CN"/>
        </w:rPr>
        <w:footnoteReference w:id="23"/>
      </w:r>
      <w:r w:rsidR="00DB0862" w:rsidRPr="00D31758">
        <w:rPr>
          <w:rFonts w:eastAsiaTheme="minorEastAsia"/>
          <w:noProof/>
          <w:lang w:val="en-US" w:eastAsia="zh-CN"/>
        </w:rPr>
        <w:t xml:space="preserve"> of the Council and European Parliament establishing a set of commitments to shape EU’s digital transformation based on general objectives and targets taking into account</w:t>
      </w:r>
      <w:r w:rsidR="00DB0862">
        <w:rPr>
          <w:rFonts w:eastAsiaTheme="minorEastAsia"/>
          <w:noProof/>
          <w:lang w:val="en-US" w:eastAsia="zh-CN"/>
        </w:rPr>
        <w:t xml:space="preserve"> the </w:t>
      </w:r>
      <w:r w:rsidR="00F90CF6" w:rsidRPr="00BD00A9">
        <w:rPr>
          <w:rFonts w:eastAsiaTheme="minorEastAsia"/>
          <w:noProof/>
          <w:lang w:eastAsia="zh-CN"/>
        </w:rPr>
        <w:t> </w:t>
      </w:r>
      <w:r w:rsidR="00F90CF6" w:rsidRPr="00BD00A9">
        <w:rPr>
          <w:rFonts w:eastAsiaTheme="minorEastAsia"/>
          <w:b/>
          <w:bCs/>
          <w:noProof/>
          <w:lang w:eastAsia="zh-CN"/>
        </w:rPr>
        <w:t>European Declaration on Digital Rights and Principles for the digital decade</w:t>
      </w:r>
      <w:r w:rsidR="00F90CF6" w:rsidRPr="00BD00A9">
        <w:rPr>
          <w:rStyle w:val="FootnoteReference"/>
          <w:rFonts w:eastAsiaTheme="minorEastAsia"/>
          <w:noProof/>
          <w:lang w:eastAsia="zh-CN"/>
        </w:rPr>
        <w:footnoteReference w:id="24"/>
      </w:r>
      <w:r w:rsidR="00F90CF6" w:rsidRPr="00BD00A9">
        <w:rPr>
          <w:rFonts w:eastAsiaTheme="minorEastAsia"/>
          <w:noProof/>
          <w:lang w:eastAsia="zh-CN"/>
        </w:rPr>
        <w:t>. It was signed on 15 December 2022 by the Presidents of the Commission, the European Parliament and the Council.</w:t>
      </w:r>
      <w:r w:rsidR="00F90CF6" w:rsidRPr="00BD00A9">
        <w:rPr>
          <w:rFonts w:ascii="Arial" w:hAnsi="Arial" w:cs="Arial"/>
          <w:noProof/>
          <w:color w:val="404040"/>
        </w:rPr>
        <w:t> </w:t>
      </w:r>
      <w:r w:rsidR="00F90CF6" w:rsidRPr="00BD00A9">
        <w:rPr>
          <w:rFonts w:eastAsiaTheme="minorEastAsia"/>
          <w:noProof/>
          <w:lang w:eastAsia="zh-CN"/>
        </w:rPr>
        <w:t xml:space="preserve">The </w:t>
      </w:r>
      <w:r w:rsidR="00DB0862">
        <w:rPr>
          <w:rFonts w:eastAsiaTheme="minorEastAsia"/>
          <w:noProof/>
          <w:lang w:eastAsia="zh-CN"/>
        </w:rPr>
        <w:t xml:space="preserve">Digital Decade Decision as well as </w:t>
      </w:r>
      <w:r w:rsidR="00F90CF6" w:rsidRPr="00BD00A9">
        <w:rPr>
          <w:rFonts w:eastAsiaTheme="minorEastAsia"/>
          <w:noProof/>
          <w:lang w:eastAsia="zh-CN"/>
        </w:rPr>
        <w:t>Declaration on Digital Rights and Principles</w:t>
      </w:r>
      <w:r w:rsidR="00F90CF6" w:rsidRPr="00BD00A9">
        <w:rPr>
          <w:rStyle w:val="FootnoteReference"/>
          <w:rFonts w:eastAsiaTheme="minorEastAsia"/>
          <w:noProof/>
          <w:lang w:eastAsia="zh-CN"/>
        </w:rPr>
        <w:footnoteReference w:id="25"/>
      </w:r>
      <w:r w:rsidR="00F90CF6" w:rsidRPr="00BD00A9">
        <w:rPr>
          <w:rFonts w:eastAsiaTheme="minorEastAsia"/>
          <w:noProof/>
          <w:lang w:eastAsia="zh-CN"/>
        </w:rPr>
        <w:t xml:space="preserve"> present the EU’s commitment to a secure, safe and sustainable digital transformation that puts people at the centre, in line with EU core values and fundamental rights. </w:t>
      </w:r>
      <w:r w:rsidR="00DB3497">
        <w:rPr>
          <w:rFonts w:eastAsiaTheme="minorEastAsia"/>
          <w:noProof/>
          <w:lang w:eastAsia="zh-CN"/>
        </w:rPr>
        <w:t xml:space="preserve">They are particularly </w:t>
      </w:r>
      <w:r w:rsidR="00DB3497" w:rsidRPr="00DB3497">
        <w:rPr>
          <w:rFonts w:eastAsiaTheme="minorEastAsia"/>
          <w:noProof/>
          <w:lang w:eastAsia="zh-CN"/>
        </w:rPr>
        <w:t>important to ensure that citizens acquire the necessary digital skills to engage in the democratic process at all levels</w:t>
      </w:r>
      <w:r w:rsidR="00DB3497">
        <w:rPr>
          <w:rFonts w:eastAsiaTheme="minorEastAsia"/>
          <w:noProof/>
          <w:lang w:eastAsia="zh-CN"/>
        </w:rPr>
        <w:t xml:space="preserve"> </w:t>
      </w:r>
      <w:r w:rsidR="00DB3497" w:rsidRPr="00DB3497">
        <w:rPr>
          <w:rFonts w:eastAsiaTheme="minorEastAsia"/>
          <w:i/>
          <w:iCs/>
          <w:noProof/>
          <w:lang w:eastAsia="zh-CN"/>
        </w:rPr>
        <w:t>(see also Section 7.2.2)</w:t>
      </w:r>
      <w:r w:rsidR="00DB3497">
        <w:rPr>
          <w:rFonts w:eastAsiaTheme="minorEastAsia"/>
          <w:noProof/>
          <w:lang w:eastAsia="zh-CN"/>
        </w:rPr>
        <w:t>.</w:t>
      </w:r>
      <w:r w:rsidR="00DB3497" w:rsidRPr="00DB3497">
        <w:rPr>
          <w:rFonts w:eastAsiaTheme="minorEastAsia"/>
          <w:noProof/>
          <w:lang w:eastAsia="zh-CN"/>
        </w:rPr>
        <w:t xml:space="preserve"> </w:t>
      </w:r>
      <w:r w:rsidR="00870429" w:rsidRPr="00BD00A9">
        <w:rPr>
          <w:rFonts w:eastAsiaTheme="minorEastAsia"/>
          <w:noProof/>
          <w:lang w:eastAsia="zh-CN"/>
        </w:rPr>
        <w:t>On 27 September 2023, the 2023 Report on the state of the Digital Decade was adopted, the first report that takes stock of the EU’s progress towards a successful digital transformation as set out in the Digital Decade Policy Programme 2030</w:t>
      </w:r>
      <w:r w:rsidR="00870429" w:rsidRPr="00BD00A9">
        <w:rPr>
          <w:rFonts w:eastAsiaTheme="minorEastAsia"/>
          <w:noProof/>
          <w:vertAlign w:val="superscript"/>
          <w:lang w:eastAsia="zh-CN"/>
        </w:rPr>
        <w:footnoteReference w:id="26"/>
      </w:r>
      <w:r w:rsidR="00870429" w:rsidRPr="00BD00A9">
        <w:rPr>
          <w:rFonts w:eastAsiaTheme="minorEastAsia"/>
          <w:noProof/>
          <w:lang w:eastAsia="zh-CN"/>
        </w:rPr>
        <w:t>.</w:t>
      </w:r>
    </w:p>
    <w:p w14:paraId="520C0029" w14:textId="65C27D7C" w:rsidR="00435994" w:rsidRPr="00BD00A9" w:rsidRDefault="00435994" w:rsidP="00435994">
      <w:pPr>
        <w:pStyle w:val="Heading3"/>
        <w:rPr>
          <w:noProof/>
          <w:lang w:val="en-IE"/>
        </w:rPr>
      </w:pPr>
      <w:bookmarkStart w:id="20" w:name="_Toc150854704"/>
      <w:bookmarkStart w:id="21" w:name="_Toc152502485"/>
      <w:r w:rsidRPr="00BD00A9">
        <w:rPr>
          <w:noProof/>
          <w:lang w:val="en-IE"/>
        </w:rPr>
        <w:t>Investor citizenship schemes</w:t>
      </w:r>
      <w:bookmarkEnd w:id="20"/>
      <w:bookmarkEnd w:id="21"/>
    </w:p>
    <w:p w14:paraId="316F04E1" w14:textId="27CA960E" w:rsidR="00435994" w:rsidRPr="00BD00A9" w:rsidRDefault="75331EB4" w:rsidP="4FAC546D">
      <w:pPr>
        <w:spacing w:line="276" w:lineRule="auto"/>
        <w:jc w:val="both"/>
        <w:rPr>
          <w:rFonts w:ascii="Times New Roman" w:eastAsiaTheme="minorEastAsia" w:hAnsi="Times New Roman"/>
          <w:noProof/>
          <w:sz w:val="24"/>
          <w:szCs w:val="24"/>
          <w:lang w:val="en-IE" w:eastAsia="zh-CN"/>
        </w:rPr>
      </w:pPr>
      <w:r w:rsidRPr="00BD00A9">
        <w:rPr>
          <w:rFonts w:ascii="Times New Roman" w:eastAsiaTheme="minorEastAsia" w:hAnsi="Times New Roman"/>
          <w:noProof/>
          <w:sz w:val="24"/>
          <w:szCs w:val="24"/>
          <w:lang w:val="en-IE" w:eastAsia="zh-CN"/>
        </w:rPr>
        <w:t xml:space="preserve">While it is for each Member State to lay down </w:t>
      </w:r>
      <w:r w:rsidR="00B869A1" w:rsidRPr="00BD00A9">
        <w:rPr>
          <w:rFonts w:ascii="Times New Roman" w:eastAsiaTheme="minorEastAsia" w:hAnsi="Times New Roman"/>
          <w:noProof/>
          <w:sz w:val="24"/>
          <w:szCs w:val="24"/>
          <w:lang w:val="en-IE" w:eastAsia="zh-CN"/>
        </w:rPr>
        <w:t xml:space="preserve">the </w:t>
      </w:r>
      <w:r w:rsidRPr="00BD00A9">
        <w:rPr>
          <w:rFonts w:ascii="Times New Roman" w:eastAsiaTheme="minorEastAsia" w:hAnsi="Times New Roman"/>
          <w:noProof/>
          <w:sz w:val="24"/>
          <w:szCs w:val="24"/>
          <w:lang w:val="en-IE" w:eastAsia="zh-CN"/>
        </w:rPr>
        <w:t xml:space="preserve">conditions for the acquisition and loss of </w:t>
      </w:r>
      <w:r w:rsidR="00B215D5" w:rsidRPr="00BD00A9">
        <w:rPr>
          <w:rFonts w:ascii="Times New Roman" w:eastAsiaTheme="minorEastAsia" w:hAnsi="Times New Roman"/>
          <w:noProof/>
          <w:sz w:val="24"/>
          <w:szCs w:val="24"/>
          <w:lang w:val="en-IE" w:eastAsia="zh-CN"/>
        </w:rPr>
        <w:t xml:space="preserve">its </w:t>
      </w:r>
      <w:r w:rsidRPr="00BD00A9">
        <w:rPr>
          <w:rFonts w:ascii="Times New Roman" w:eastAsiaTheme="minorEastAsia" w:hAnsi="Times New Roman"/>
          <w:noProof/>
          <w:sz w:val="24"/>
          <w:szCs w:val="24"/>
          <w:lang w:val="en-IE" w:eastAsia="zh-CN"/>
        </w:rPr>
        <w:t xml:space="preserve">nationality, granting Member State citizenship also entails granting EU citizenship and the rights that go with it, which can be exercised throughout the EU. </w:t>
      </w:r>
      <w:r w:rsidR="00E85FCA" w:rsidRPr="00BD00A9">
        <w:rPr>
          <w:rFonts w:ascii="Times New Roman" w:hAnsi="Times New Roman"/>
          <w:noProof/>
          <w:sz w:val="24"/>
          <w:szCs w:val="24"/>
        </w:rPr>
        <w:t>Member States’ rules in the sphere of nationality must</w:t>
      </w:r>
      <w:r w:rsidR="007E3B68" w:rsidRPr="00BD00A9">
        <w:rPr>
          <w:rFonts w:ascii="Times New Roman" w:hAnsi="Times New Roman"/>
          <w:noProof/>
          <w:sz w:val="24"/>
          <w:szCs w:val="24"/>
        </w:rPr>
        <w:t xml:space="preserve"> therefore</w:t>
      </w:r>
      <w:r w:rsidR="00E85FCA" w:rsidRPr="00BD00A9">
        <w:rPr>
          <w:rFonts w:ascii="Times New Roman" w:hAnsi="Times New Roman"/>
          <w:noProof/>
          <w:sz w:val="24"/>
          <w:szCs w:val="24"/>
        </w:rPr>
        <w:t xml:space="preserve"> have due regard to EU law</w:t>
      </w:r>
      <w:r w:rsidR="009245CD" w:rsidRPr="00BD00A9">
        <w:rPr>
          <w:rStyle w:val="FootnoteReference"/>
          <w:rFonts w:ascii="Times New Roman" w:hAnsi="Times New Roman"/>
          <w:noProof/>
          <w:sz w:val="24"/>
          <w:szCs w:val="24"/>
        </w:rPr>
        <w:footnoteReference w:id="27"/>
      </w:r>
      <w:r w:rsidR="007E3B68" w:rsidRPr="00BD00A9">
        <w:rPr>
          <w:rFonts w:ascii="Times New Roman" w:hAnsi="Times New Roman"/>
          <w:noProof/>
          <w:sz w:val="24"/>
          <w:szCs w:val="24"/>
        </w:rPr>
        <w:t>.</w:t>
      </w:r>
      <w:r w:rsidR="00E85FCA" w:rsidRPr="00BD00A9">
        <w:rPr>
          <w:rFonts w:ascii="Times New Roman" w:hAnsi="Times New Roman"/>
          <w:noProof/>
          <w:sz w:val="24"/>
          <w:szCs w:val="24"/>
          <w:lang w:val="en-IE"/>
        </w:rPr>
        <w:t xml:space="preserve"> </w:t>
      </w:r>
      <w:r w:rsidR="64646C5B" w:rsidRPr="00BD00A9">
        <w:rPr>
          <w:rFonts w:ascii="Times New Roman" w:hAnsi="Times New Roman"/>
          <w:noProof/>
          <w:sz w:val="24"/>
          <w:szCs w:val="24"/>
          <w:lang w:val="en-IE"/>
        </w:rPr>
        <w:t xml:space="preserve">The Commission considers that granting EU citizenship in return for pre-determined payments or investments without any genuine link to the Member State concerned is not compatible with the principle of sincere cooperation and with the concept of </w:t>
      </w:r>
      <w:r w:rsidR="0B69EF98" w:rsidRPr="00BD00A9">
        <w:rPr>
          <w:rFonts w:ascii="Times New Roman" w:hAnsi="Times New Roman"/>
          <w:noProof/>
          <w:sz w:val="24"/>
          <w:szCs w:val="24"/>
          <w:lang w:val="en-IE"/>
        </w:rPr>
        <w:t>E</w:t>
      </w:r>
      <w:r w:rsidR="64646C5B" w:rsidRPr="00BD00A9">
        <w:rPr>
          <w:rFonts w:ascii="Times New Roman" w:hAnsi="Times New Roman"/>
          <w:noProof/>
          <w:sz w:val="24"/>
          <w:szCs w:val="24"/>
          <w:lang w:val="en-IE"/>
        </w:rPr>
        <w:t>U citizenship.</w:t>
      </w:r>
    </w:p>
    <w:p w14:paraId="52C756A2" w14:textId="46CF47BF" w:rsidR="00824FD2" w:rsidRPr="00BD00A9" w:rsidRDefault="007E226B" w:rsidP="00824FD2">
      <w:pPr>
        <w:spacing w:line="276" w:lineRule="auto"/>
        <w:jc w:val="both"/>
        <w:rPr>
          <w:rFonts w:ascii="Times New Roman" w:hAnsi="Times New Roman"/>
          <w:noProof/>
          <w:sz w:val="24"/>
          <w:szCs w:val="24"/>
          <w:lang w:val="en-IE"/>
        </w:rPr>
      </w:pPr>
      <w:r w:rsidRPr="00BD00A9">
        <w:rPr>
          <w:rFonts w:ascii="Times New Roman" w:hAnsi="Times New Roman"/>
          <w:noProof/>
          <w:sz w:val="24"/>
          <w:szCs w:val="24"/>
          <w:lang w:val="en-IE"/>
        </w:rPr>
        <w:t xml:space="preserve">On 20 October 2020, the Commission launched </w:t>
      </w:r>
      <w:r w:rsidRPr="00BD00A9">
        <w:rPr>
          <w:rFonts w:ascii="Times New Roman" w:hAnsi="Times New Roman"/>
          <w:b/>
          <w:bCs/>
          <w:noProof/>
          <w:sz w:val="24"/>
          <w:szCs w:val="24"/>
          <w:lang w:val="en-IE"/>
        </w:rPr>
        <w:t>infringement procedures</w:t>
      </w:r>
      <w:r w:rsidRPr="00BD00A9">
        <w:rPr>
          <w:rFonts w:ascii="Times New Roman" w:hAnsi="Times New Roman"/>
          <w:noProof/>
          <w:sz w:val="24"/>
          <w:szCs w:val="24"/>
          <w:lang w:val="en-IE"/>
        </w:rPr>
        <w:t xml:space="preserve"> against </w:t>
      </w:r>
      <w:r w:rsidR="00870429" w:rsidRPr="00BD00A9">
        <w:rPr>
          <w:rFonts w:ascii="Times New Roman" w:hAnsi="Times New Roman"/>
          <w:noProof/>
          <w:sz w:val="24"/>
          <w:szCs w:val="24"/>
          <w:lang w:val="en-IE"/>
        </w:rPr>
        <w:t xml:space="preserve">two Member States </w:t>
      </w:r>
      <w:r w:rsidRPr="00BD00A9">
        <w:rPr>
          <w:rFonts w:ascii="Times New Roman" w:hAnsi="Times New Roman"/>
          <w:noProof/>
          <w:sz w:val="24"/>
          <w:szCs w:val="24"/>
          <w:lang w:val="en-IE"/>
        </w:rPr>
        <w:t>regarding their investor citizenship schemes</w:t>
      </w:r>
      <w:r w:rsidRPr="00BD00A9">
        <w:rPr>
          <w:rStyle w:val="FootnoteReference"/>
          <w:rFonts w:ascii="Times New Roman" w:hAnsi="Times New Roman"/>
          <w:noProof/>
          <w:sz w:val="24"/>
          <w:szCs w:val="24"/>
          <w:lang w:val="en-IE"/>
        </w:rPr>
        <w:footnoteReference w:id="28"/>
      </w:r>
      <w:r w:rsidRPr="00BD00A9">
        <w:rPr>
          <w:rFonts w:ascii="Times New Roman" w:hAnsi="Times New Roman"/>
          <w:noProof/>
          <w:sz w:val="24"/>
          <w:szCs w:val="24"/>
          <w:lang w:val="en-IE"/>
        </w:rPr>
        <w:t xml:space="preserve">. </w:t>
      </w:r>
      <w:r w:rsidR="00824FD2" w:rsidRPr="00BD00A9">
        <w:rPr>
          <w:rFonts w:ascii="Times New Roman" w:hAnsi="Times New Roman"/>
          <w:noProof/>
          <w:sz w:val="24"/>
          <w:szCs w:val="24"/>
          <w:lang w:val="en-IE"/>
        </w:rPr>
        <w:t xml:space="preserve">Since then, </w:t>
      </w:r>
      <w:r w:rsidR="00870429" w:rsidRPr="00BD00A9">
        <w:rPr>
          <w:rFonts w:ascii="Times New Roman" w:hAnsi="Times New Roman"/>
          <w:noProof/>
          <w:sz w:val="24"/>
          <w:szCs w:val="24"/>
          <w:lang w:val="en-IE"/>
        </w:rPr>
        <w:t>one Member State</w:t>
      </w:r>
      <w:r w:rsidR="00824FD2" w:rsidRPr="00BD00A9">
        <w:rPr>
          <w:rFonts w:ascii="Times New Roman" w:hAnsi="Times New Roman"/>
          <w:noProof/>
          <w:sz w:val="24"/>
          <w:szCs w:val="24"/>
          <w:lang w:val="en-IE"/>
        </w:rPr>
        <w:t xml:space="preserve"> has suspended its scheme</w:t>
      </w:r>
      <w:r w:rsidR="003844A7" w:rsidRPr="00BD00A9">
        <w:rPr>
          <w:rStyle w:val="FootnoteReference"/>
          <w:rFonts w:ascii="Times New Roman" w:hAnsi="Times New Roman"/>
          <w:noProof/>
          <w:sz w:val="24"/>
          <w:szCs w:val="24"/>
          <w:lang w:val="en-IE"/>
        </w:rPr>
        <w:footnoteReference w:id="29"/>
      </w:r>
      <w:r w:rsidR="00824FD2" w:rsidRPr="00BD00A9">
        <w:rPr>
          <w:rFonts w:ascii="Times New Roman" w:hAnsi="Times New Roman"/>
          <w:noProof/>
          <w:sz w:val="24"/>
          <w:szCs w:val="24"/>
          <w:lang w:val="en-IE"/>
        </w:rPr>
        <w:t xml:space="preserve">. </w:t>
      </w:r>
    </w:p>
    <w:p w14:paraId="015BAA9B" w14:textId="47FC87A3" w:rsidR="00824FD2" w:rsidRPr="00BD00A9" w:rsidRDefault="00870429" w:rsidP="00824FD2">
      <w:pPr>
        <w:spacing w:line="276" w:lineRule="auto"/>
        <w:jc w:val="both"/>
        <w:rPr>
          <w:rFonts w:ascii="Times New Roman" w:hAnsi="Times New Roman"/>
          <w:noProof/>
          <w:sz w:val="24"/>
          <w:szCs w:val="24"/>
          <w:lang w:val="en-IE"/>
        </w:rPr>
      </w:pPr>
      <w:r w:rsidRPr="00BD00A9">
        <w:rPr>
          <w:rFonts w:ascii="Times New Roman" w:hAnsi="Times New Roman"/>
          <w:noProof/>
          <w:sz w:val="24"/>
          <w:szCs w:val="24"/>
          <w:lang w:val="en-IE"/>
        </w:rPr>
        <w:t xml:space="preserve">As the other Member State did not satisfactorily address the concerns raised by the Commission, </w:t>
      </w:r>
      <w:r w:rsidR="64646C5B" w:rsidRPr="00BD00A9">
        <w:rPr>
          <w:rFonts w:ascii="Times New Roman" w:hAnsi="Times New Roman"/>
          <w:noProof/>
          <w:sz w:val="24"/>
          <w:szCs w:val="24"/>
          <w:lang w:val="en-IE"/>
        </w:rPr>
        <w:t xml:space="preserve">the Commission decided to </w:t>
      </w:r>
      <w:r w:rsidR="64646C5B" w:rsidRPr="00BD00A9">
        <w:rPr>
          <w:rFonts w:ascii="Times New Roman" w:hAnsi="Times New Roman"/>
          <w:b/>
          <w:bCs/>
          <w:noProof/>
          <w:sz w:val="24"/>
          <w:szCs w:val="24"/>
          <w:lang w:val="en-IE"/>
        </w:rPr>
        <w:t xml:space="preserve">refer </w:t>
      </w:r>
      <w:r w:rsidRPr="00BD00A9">
        <w:rPr>
          <w:rFonts w:ascii="Times New Roman" w:hAnsi="Times New Roman"/>
          <w:b/>
          <w:bCs/>
          <w:noProof/>
          <w:sz w:val="24"/>
          <w:szCs w:val="24"/>
          <w:lang w:val="en-IE"/>
        </w:rPr>
        <w:t>this Member State</w:t>
      </w:r>
      <w:r w:rsidR="64646C5B" w:rsidRPr="00BD00A9">
        <w:rPr>
          <w:rFonts w:ascii="Times New Roman" w:hAnsi="Times New Roman"/>
          <w:b/>
          <w:bCs/>
          <w:noProof/>
          <w:sz w:val="24"/>
          <w:szCs w:val="24"/>
          <w:lang w:val="en-IE"/>
        </w:rPr>
        <w:t xml:space="preserve"> to the Court of Justice of the European Union for its investor citizenship scheme</w:t>
      </w:r>
      <w:r w:rsidR="00A247C2" w:rsidRPr="00BD00A9">
        <w:rPr>
          <w:rFonts w:ascii="Times New Roman" w:hAnsi="Times New Roman"/>
          <w:b/>
          <w:bCs/>
          <w:noProof/>
          <w:sz w:val="24"/>
          <w:szCs w:val="24"/>
          <w:lang w:val="en-IE"/>
        </w:rPr>
        <w:t xml:space="preserve"> </w:t>
      </w:r>
      <w:r w:rsidR="00A247C2" w:rsidRPr="00BD00A9">
        <w:rPr>
          <w:rFonts w:ascii="Times New Roman" w:hAnsi="Times New Roman"/>
          <w:noProof/>
          <w:sz w:val="24"/>
          <w:szCs w:val="24"/>
          <w:lang w:val="en-IE"/>
        </w:rPr>
        <w:t>on 29 September 2022</w:t>
      </w:r>
      <w:r w:rsidR="007E226B" w:rsidRPr="00BD00A9">
        <w:rPr>
          <w:rStyle w:val="FootnoteReference"/>
          <w:rFonts w:ascii="Times New Roman" w:hAnsi="Times New Roman"/>
          <w:noProof/>
          <w:sz w:val="24"/>
          <w:szCs w:val="24"/>
          <w:lang w:val="en-IE"/>
        </w:rPr>
        <w:footnoteReference w:id="30"/>
      </w:r>
      <w:r w:rsidR="64646C5B" w:rsidRPr="00BD00A9">
        <w:rPr>
          <w:rFonts w:ascii="Times New Roman" w:hAnsi="Times New Roman"/>
          <w:noProof/>
          <w:sz w:val="24"/>
          <w:szCs w:val="24"/>
          <w:lang w:val="en-IE"/>
        </w:rPr>
        <w:t xml:space="preserve">. </w:t>
      </w:r>
    </w:p>
    <w:p w14:paraId="0F340C4A" w14:textId="0EFF9A76" w:rsidR="007E226B" w:rsidRPr="00BD00A9" w:rsidRDefault="007E226B" w:rsidP="00824FD2">
      <w:pPr>
        <w:spacing w:line="276" w:lineRule="auto"/>
        <w:jc w:val="both"/>
        <w:rPr>
          <w:rFonts w:ascii="Times New Roman" w:hAnsi="Times New Roman"/>
          <w:noProof/>
          <w:sz w:val="24"/>
          <w:szCs w:val="24"/>
          <w:lang w:val="en-IE"/>
        </w:rPr>
      </w:pPr>
      <w:bookmarkStart w:id="22" w:name="_Hlk151038744"/>
      <w:r w:rsidRPr="00BD00A9">
        <w:rPr>
          <w:rFonts w:ascii="Times New Roman" w:hAnsi="Times New Roman"/>
          <w:noProof/>
          <w:sz w:val="24"/>
          <w:szCs w:val="24"/>
          <w:lang w:val="en-IE"/>
        </w:rPr>
        <w:t xml:space="preserve">In March 2022, the Commission adopted a </w:t>
      </w:r>
      <w:r w:rsidRPr="00BD00A9">
        <w:rPr>
          <w:rFonts w:ascii="Times New Roman" w:hAnsi="Times New Roman"/>
          <w:b/>
          <w:bCs/>
          <w:noProof/>
          <w:sz w:val="24"/>
          <w:szCs w:val="24"/>
          <w:lang w:val="en-IE"/>
        </w:rPr>
        <w:t>Recommendation on immediate steps in the context of the Russian invasion of Ukraine in relation to investor citizenship schemes and investor residence schemes</w:t>
      </w:r>
      <w:r w:rsidRPr="00BD00A9">
        <w:rPr>
          <w:rStyle w:val="FootnoteReference"/>
          <w:rFonts w:ascii="Times New Roman" w:hAnsi="Times New Roman"/>
          <w:noProof/>
          <w:sz w:val="24"/>
          <w:szCs w:val="24"/>
          <w:lang w:val="en-IE"/>
        </w:rPr>
        <w:footnoteReference w:id="31"/>
      </w:r>
      <w:r w:rsidRPr="00BD00A9">
        <w:rPr>
          <w:rFonts w:ascii="Times New Roman" w:hAnsi="Times New Roman"/>
          <w:noProof/>
          <w:sz w:val="24"/>
          <w:szCs w:val="24"/>
          <w:lang w:val="en-IE"/>
        </w:rPr>
        <w:t xml:space="preserve">. This recommendation </w:t>
      </w:r>
      <w:r w:rsidR="004C374D" w:rsidRPr="00BD00A9">
        <w:rPr>
          <w:rFonts w:ascii="Times New Roman" w:hAnsi="Times New Roman"/>
          <w:noProof/>
          <w:sz w:val="24"/>
          <w:szCs w:val="24"/>
          <w:lang w:val="en-IE"/>
        </w:rPr>
        <w:t>reiterated that</w:t>
      </w:r>
      <w:r w:rsidRPr="00BD00A9">
        <w:rPr>
          <w:rFonts w:ascii="Times New Roman" w:hAnsi="Times New Roman"/>
          <w:noProof/>
          <w:sz w:val="24"/>
          <w:szCs w:val="24"/>
          <w:lang w:val="en-IE"/>
        </w:rPr>
        <w:t xml:space="preserve"> Member States </w:t>
      </w:r>
      <w:r w:rsidR="004C374D" w:rsidRPr="00BD00A9">
        <w:rPr>
          <w:rFonts w:ascii="Times New Roman" w:hAnsi="Times New Roman"/>
          <w:noProof/>
          <w:sz w:val="24"/>
          <w:szCs w:val="24"/>
          <w:lang w:val="en-IE"/>
        </w:rPr>
        <w:t xml:space="preserve">need </w:t>
      </w:r>
      <w:r w:rsidRPr="00BD00A9">
        <w:rPr>
          <w:rFonts w:ascii="Times New Roman" w:hAnsi="Times New Roman"/>
          <w:noProof/>
          <w:sz w:val="24"/>
          <w:szCs w:val="24"/>
          <w:lang w:val="en-IE"/>
        </w:rPr>
        <w:t xml:space="preserve">to immediately repeal any existing investor citizenship schemes and to ensure </w:t>
      </w:r>
      <w:r w:rsidR="00171282" w:rsidRPr="00BD00A9">
        <w:rPr>
          <w:rFonts w:ascii="Times New Roman" w:hAnsi="Times New Roman"/>
          <w:noProof/>
          <w:sz w:val="24"/>
          <w:szCs w:val="24"/>
          <w:lang w:val="en-IE"/>
        </w:rPr>
        <w:t>that robust</w:t>
      </w:r>
      <w:r w:rsidRPr="00BD00A9">
        <w:rPr>
          <w:rFonts w:ascii="Times New Roman" w:hAnsi="Times New Roman"/>
          <w:noProof/>
          <w:sz w:val="24"/>
          <w:szCs w:val="24"/>
          <w:lang w:val="en-IE"/>
        </w:rPr>
        <w:t xml:space="preserve"> checks are in place to address the risks posed by investor residence schemes </w:t>
      </w:r>
      <w:r w:rsidR="00E2100E">
        <w:rPr>
          <w:rFonts w:ascii="Times New Roman" w:hAnsi="Times New Roman"/>
          <w:noProof/>
          <w:sz w:val="24"/>
          <w:szCs w:val="24"/>
          <w:lang w:val="en-IE"/>
        </w:rPr>
        <w:t xml:space="preserve">also </w:t>
      </w:r>
      <w:r w:rsidRPr="00BD00A9">
        <w:rPr>
          <w:rFonts w:ascii="Times New Roman" w:hAnsi="Times New Roman"/>
          <w:noProof/>
          <w:sz w:val="24"/>
          <w:szCs w:val="24"/>
          <w:lang w:val="en-IE"/>
        </w:rPr>
        <w:t xml:space="preserve">in light of the Russian aggression against Ukraine. The Member States concerned should </w:t>
      </w:r>
      <w:r w:rsidR="00171282" w:rsidRPr="00BD00A9">
        <w:rPr>
          <w:rFonts w:ascii="Times New Roman" w:hAnsi="Times New Roman"/>
          <w:noProof/>
          <w:sz w:val="24"/>
          <w:szCs w:val="24"/>
          <w:lang w:val="en-IE"/>
        </w:rPr>
        <w:t>assess whether to withdraw</w:t>
      </w:r>
      <w:r w:rsidRPr="00BD00A9">
        <w:rPr>
          <w:rFonts w:ascii="Times New Roman" w:hAnsi="Times New Roman"/>
          <w:noProof/>
          <w:sz w:val="24"/>
          <w:szCs w:val="24"/>
          <w:lang w:val="en-IE"/>
        </w:rPr>
        <w:t xml:space="preserve"> citizenship previously granted to Russian or Belarusian nationals subject to sanctions or significantly supporting the war in Ukraine. </w:t>
      </w:r>
      <w:r w:rsidR="00171282" w:rsidRPr="00BD00A9">
        <w:rPr>
          <w:rFonts w:ascii="Times New Roman" w:hAnsi="Times New Roman"/>
          <w:noProof/>
          <w:sz w:val="24"/>
          <w:szCs w:val="24"/>
          <w:lang w:val="en-IE"/>
        </w:rPr>
        <w:t>In</w:t>
      </w:r>
      <w:r w:rsidRPr="00BD00A9">
        <w:rPr>
          <w:rFonts w:ascii="Times New Roman" w:hAnsi="Times New Roman"/>
          <w:noProof/>
          <w:sz w:val="24"/>
          <w:szCs w:val="24"/>
          <w:lang w:val="en-IE"/>
        </w:rPr>
        <w:t xml:space="preserve"> the</w:t>
      </w:r>
      <w:r w:rsidR="00171282" w:rsidRPr="00BD00A9">
        <w:rPr>
          <w:rFonts w:ascii="Times New Roman" w:hAnsi="Times New Roman"/>
          <w:noProof/>
          <w:sz w:val="24"/>
          <w:szCs w:val="24"/>
          <w:lang w:val="en-IE"/>
        </w:rPr>
        <w:t>ir</w:t>
      </w:r>
      <w:r w:rsidRPr="00BD00A9">
        <w:rPr>
          <w:rFonts w:ascii="Times New Roman" w:hAnsi="Times New Roman"/>
          <w:noProof/>
          <w:sz w:val="24"/>
          <w:szCs w:val="24"/>
          <w:lang w:val="en-IE"/>
        </w:rPr>
        <w:t xml:space="preserve"> assessments, the Member States concerned are to take into account the principles established by the Court of Justice of the European Union regarding the loss of EU citizenship.</w:t>
      </w:r>
    </w:p>
    <w:p w14:paraId="0D2C6B95" w14:textId="5C7C9872" w:rsidR="00534D5C" w:rsidRPr="00BD00A9" w:rsidRDefault="00D855E4" w:rsidP="00534D5C">
      <w:pPr>
        <w:pStyle w:val="Heading2"/>
        <w:rPr>
          <w:rFonts w:eastAsiaTheme="minorEastAsia"/>
        </w:rPr>
      </w:pPr>
      <w:bookmarkStart w:id="23" w:name="_Toc150854705"/>
      <w:bookmarkStart w:id="24" w:name="_Toc152502486"/>
      <w:bookmarkEnd w:id="22"/>
      <w:r w:rsidRPr="00BD00A9">
        <w:rPr>
          <w:rFonts w:eastAsiaTheme="minorEastAsia"/>
        </w:rPr>
        <w:t>Case</w:t>
      </w:r>
      <w:r w:rsidR="00904724" w:rsidRPr="00BD00A9">
        <w:rPr>
          <w:rFonts w:eastAsiaTheme="minorEastAsia"/>
        </w:rPr>
        <w:t xml:space="preserve"> </w:t>
      </w:r>
      <w:r w:rsidRPr="00BD00A9">
        <w:rPr>
          <w:rFonts w:eastAsiaTheme="minorEastAsia"/>
        </w:rPr>
        <w:t>law developments</w:t>
      </w:r>
      <w:bookmarkEnd w:id="23"/>
      <w:bookmarkEnd w:id="24"/>
    </w:p>
    <w:p w14:paraId="00C7FDF3" w14:textId="62899640" w:rsidR="00636E07" w:rsidRPr="00BD00A9" w:rsidRDefault="00C87D72" w:rsidP="00D855E4">
      <w:pPr>
        <w:spacing w:after="240" w:line="276" w:lineRule="auto"/>
        <w:jc w:val="both"/>
        <w:rPr>
          <w:rFonts w:ascii="Times New Roman" w:eastAsiaTheme="minorEastAsia" w:hAnsi="Times New Roman"/>
          <w:noProof/>
          <w:sz w:val="24"/>
          <w:szCs w:val="24"/>
          <w:lang w:val="en-IE" w:eastAsia="zh-CN"/>
        </w:rPr>
      </w:pPr>
      <w:r w:rsidRPr="00BD00A9">
        <w:rPr>
          <w:rFonts w:ascii="Times New Roman" w:eastAsiaTheme="minorEastAsia" w:hAnsi="Times New Roman"/>
          <w:noProof/>
          <w:sz w:val="24"/>
          <w:szCs w:val="24"/>
          <w:lang w:val="en-IE" w:eastAsia="zh-CN"/>
        </w:rPr>
        <w:t xml:space="preserve">From 2020 to 2023, the Court </w:t>
      </w:r>
      <w:r w:rsidR="00984A0D" w:rsidRPr="00BD00A9">
        <w:rPr>
          <w:rFonts w:ascii="Times New Roman" w:eastAsiaTheme="minorEastAsia" w:hAnsi="Times New Roman"/>
          <w:noProof/>
          <w:sz w:val="24"/>
          <w:szCs w:val="24"/>
          <w:lang w:val="en-IE" w:eastAsia="zh-CN"/>
        </w:rPr>
        <w:t xml:space="preserve">issued </w:t>
      </w:r>
      <w:r w:rsidR="00776777" w:rsidRPr="00BD00A9">
        <w:rPr>
          <w:rFonts w:ascii="Times New Roman" w:eastAsiaTheme="minorEastAsia" w:hAnsi="Times New Roman"/>
          <w:noProof/>
          <w:sz w:val="24"/>
          <w:szCs w:val="24"/>
          <w:lang w:val="en-IE" w:eastAsia="zh-CN"/>
        </w:rPr>
        <w:t>s</w:t>
      </w:r>
      <w:r w:rsidR="00171282" w:rsidRPr="00BD00A9">
        <w:rPr>
          <w:rFonts w:ascii="Times New Roman" w:eastAsiaTheme="minorEastAsia" w:hAnsi="Times New Roman"/>
          <w:noProof/>
          <w:sz w:val="24"/>
          <w:szCs w:val="24"/>
          <w:lang w:val="en-IE" w:eastAsia="zh-CN"/>
        </w:rPr>
        <w:t>everal</w:t>
      </w:r>
      <w:r w:rsidR="00984A0D" w:rsidRPr="00BD00A9">
        <w:rPr>
          <w:rFonts w:ascii="Times New Roman" w:eastAsiaTheme="minorEastAsia" w:hAnsi="Times New Roman"/>
          <w:noProof/>
          <w:sz w:val="24"/>
          <w:szCs w:val="24"/>
          <w:lang w:val="en-IE" w:eastAsia="zh-CN"/>
        </w:rPr>
        <w:t xml:space="preserve"> key judgments</w:t>
      </w:r>
      <w:r w:rsidRPr="00BD00A9">
        <w:rPr>
          <w:rFonts w:ascii="Times New Roman" w:eastAsiaTheme="minorEastAsia" w:hAnsi="Times New Roman"/>
          <w:noProof/>
          <w:sz w:val="24"/>
          <w:szCs w:val="24"/>
          <w:lang w:val="en-IE" w:eastAsia="zh-CN"/>
        </w:rPr>
        <w:t xml:space="preserve"> </w:t>
      </w:r>
      <w:r w:rsidR="00171282" w:rsidRPr="00BD00A9">
        <w:rPr>
          <w:rFonts w:ascii="Times New Roman" w:eastAsiaTheme="minorEastAsia" w:hAnsi="Times New Roman"/>
          <w:noProof/>
          <w:sz w:val="24"/>
          <w:szCs w:val="24"/>
          <w:lang w:val="en-IE" w:eastAsia="zh-CN"/>
        </w:rPr>
        <w:t>on</w:t>
      </w:r>
      <w:r w:rsidRPr="00BD00A9">
        <w:rPr>
          <w:rFonts w:ascii="Times New Roman" w:eastAsiaTheme="minorEastAsia" w:hAnsi="Times New Roman"/>
          <w:noProof/>
          <w:sz w:val="24"/>
          <w:szCs w:val="24"/>
          <w:lang w:val="en-IE" w:eastAsia="zh-CN"/>
        </w:rPr>
        <w:t xml:space="preserve"> EU citizenship</w:t>
      </w:r>
      <w:r w:rsidR="000F1408" w:rsidRPr="00BD00A9">
        <w:rPr>
          <w:rFonts w:ascii="Times New Roman" w:eastAsiaTheme="minorEastAsia" w:hAnsi="Times New Roman"/>
          <w:noProof/>
          <w:sz w:val="24"/>
          <w:szCs w:val="24"/>
          <w:lang w:val="en-IE" w:eastAsia="zh-CN"/>
        </w:rPr>
        <w:t>. These cases covered</w:t>
      </w:r>
      <w:r w:rsidR="00171282" w:rsidRPr="00BD00A9">
        <w:rPr>
          <w:rFonts w:ascii="Times New Roman" w:eastAsiaTheme="minorEastAsia" w:hAnsi="Times New Roman"/>
          <w:noProof/>
          <w:sz w:val="24"/>
          <w:szCs w:val="24"/>
          <w:lang w:val="en-IE" w:eastAsia="zh-CN"/>
        </w:rPr>
        <w:t>,</w:t>
      </w:r>
      <w:r w:rsidR="000F1408" w:rsidRPr="00BD00A9">
        <w:rPr>
          <w:rFonts w:ascii="Times New Roman" w:eastAsiaTheme="minorEastAsia" w:hAnsi="Times New Roman"/>
          <w:noProof/>
          <w:sz w:val="24"/>
          <w:szCs w:val="24"/>
          <w:lang w:val="en-IE" w:eastAsia="zh-CN"/>
        </w:rPr>
        <w:t xml:space="preserve"> for example</w:t>
      </w:r>
      <w:r w:rsidR="00171282" w:rsidRPr="00BD00A9">
        <w:rPr>
          <w:rFonts w:ascii="Times New Roman" w:eastAsiaTheme="minorEastAsia" w:hAnsi="Times New Roman"/>
          <w:noProof/>
          <w:sz w:val="24"/>
          <w:szCs w:val="24"/>
          <w:lang w:val="en-IE" w:eastAsia="zh-CN"/>
        </w:rPr>
        <w:t>,</w:t>
      </w:r>
      <w:r w:rsidR="000F1408" w:rsidRPr="00BD00A9">
        <w:rPr>
          <w:rFonts w:ascii="Times New Roman" w:eastAsiaTheme="minorEastAsia" w:hAnsi="Times New Roman"/>
          <w:noProof/>
          <w:sz w:val="24"/>
          <w:szCs w:val="24"/>
          <w:lang w:val="en-IE" w:eastAsia="zh-CN"/>
        </w:rPr>
        <w:t xml:space="preserve"> the loss of EU citizenship due to loss of nationality of a Member State. </w:t>
      </w:r>
    </w:p>
    <w:p w14:paraId="78D10ADB" w14:textId="2F8493F0" w:rsidR="00776777" w:rsidRPr="00BD00A9" w:rsidRDefault="00984A0D" w:rsidP="00776777">
      <w:pPr>
        <w:spacing w:after="240" w:line="276" w:lineRule="auto"/>
        <w:jc w:val="both"/>
        <w:rPr>
          <w:rFonts w:ascii="Times New Roman" w:eastAsiaTheme="minorEastAsia" w:hAnsi="Times New Roman"/>
          <w:noProof/>
          <w:sz w:val="24"/>
          <w:szCs w:val="24"/>
          <w:lang w:val="en-GB" w:eastAsia="zh-CN"/>
        </w:rPr>
      </w:pPr>
      <w:r w:rsidRPr="00BD00A9">
        <w:rPr>
          <w:rFonts w:ascii="Times New Roman" w:eastAsiaTheme="minorEastAsia" w:hAnsi="Times New Roman"/>
          <w:noProof/>
          <w:sz w:val="24"/>
          <w:szCs w:val="24"/>
          <w:lang w:val="en-GB" w:eastAsia="zh-CN"/>
        </w:rPr>
        <w:t xml:space="preserve">The three cases </w:t>
      </w:r>
      <w:r w:rsidRPr="00BD00A9">
        <w:rPr>
          <w:rFonts w:ascii="Times New Roman" w:eastAsiaTheme="minorEastAsia" w:hAnsi="Times New Roman"/>
          <w:b/>
          <w:bCs/>
          <w:i/>
          <w:noProof/>
          <w:sz w:val="24"/>
          <w:szCs w:val="24"/>
          <w:lang w:val="en-GB" w:eastAsia="zh-CN"/>
        </w:rPr>
        <w:t>Silver and Others v Council</w:t>
      </w:r>
      <w:r w:rsidRPr="00BD00A9">
        <w:rPr>
          <w:rFonts w:ascii="Times New Roman" w:eastAsiaTheme="minorEastAsia" w:hAnsi="Times New Roman"/>
          <w:noProof/>
          <w:sz w:val="24"/>
          <w:szCs w:val="24"/>
          <w:vertAlign w:val="superscript"/>
          <w:lang w:val="en-GB" w:eastAsia="zh-CN"/>
        </w:rPr>
        <w:footnoteReference w:id="32"/>
      </w:r>
      <w:r w:rsidRPr="00BD00A9">
        <w:rPr>
          <w:rFonts w:ascii="Times New Roman" w:eastAsiaTheme="minorEastAsia" w:hAnsi="Times New Roman"/>
          <w:b/>
          <w:bCs/>
          <w:noProof/>
          <w:sz w:val="24"/>
          <w:szCs w:val="24"/>
          <w:lang w:val="en-GB" w:eastAsia="zh-CN"/>
        </w:rPr>
        <w:t xml:space="preserve">, </w:t>
      </w:r>
      <w:r w:rsidRPr="00BD00A9">
        <w:rPr>
          <w:rFonts w:ascii="Times New Roman" w:eastAsiaTheme="minorEastAsia" w:hAnsi="Times New Roman"/>
          <w:b/>
          <w:bCs/>
          <w:i/>
          <w:noProof/>
          <w:sz w:val="24"/>
          <w:szCs w:val="24"/>
          <w:lang w:val="en-GB" w:eastAsia="zh-CN"/>
        </w:rPr>
        <w:t>Shindler and Others v Council</w:t>
      </w:r>
      <w:r w:rsidRPr="00BD00A9">
        <w:rPr>
          <w:rFonts w:ascii="Times New Roman" w:eastAsiaTheme="minorEastAsia" w:hAnsi="Times New Roman"/>
          <w:noProof/>
          <w:sz w:val="24"/>
          <w:szCs w:val="24"/>
          <w:vertAlign w:val="superscript"/>
          <w:lang w:val="en-GB" w:eastAsia="zh-CN"/>
        </w:rPr>
        <w:footnoteReference w:id="33"/>
      </w:r>
      <w:r w:rsidRPr="00BD00A9">
        <w:rPr>
          <w:rFonts w:ascii="Times New Roman" w:eastAsiaTheme="minorEastAsia" w:hAnsi="Times New Roman"/>
          <w:noProof/>
          <w:sz w:val="24"/>
          <w:szCs w:val="24"/>
          <w:lang w:val="en-GB" w:eastAsia="zh-CN"/>
        </w:rPr>
        <w:t xml:space="preserve"> and </w:t>
      </w:r>
      <w:r w:rsidRPr="00BD00A9">
        <w:rPr>
          <w:rFonts w:ascii="Times New Roman" w:eastAsiaTheme="minorEastAsia" w:hAnsi="Times New Roman"/>
          <w:b/>
          <w:bCs/>
          <w:i/>
          <w:iCs/>
          <w:noProof/>
          <w:sz w:val="24"/>
          <w:szCs w:val="24"/>
          <w:lang w:val="en-GB" w:eastAsia="zh-CN"/>
        </w:rPr>
        <w:t>David Price v Council</w:t>
      </w:r>
      <w:r w:rsidRPr="00BD00A9">
        <w:rPr>
          <w:rFonts w:ascii="Times New Roman" w:eastAsiaTheme="minorEastAsia" w:hAnsi="Times New Roman"/>
          <w:noProof/>
          <w:sz w:val="24"/>
          <w:szCs w:val="24"/>
          <w:vertAlign w:val="superscript"/>
          <w:lang w:val="en-GB" w:eastAsia="zh-CN"/>
        </w:rPr>
        <w:footnoteReference w:id="34"/>
      </w:r>
      <w:r w:rsidRPr="00BD00A9">
        <w:rPr>
          <w:rFonts w:ascii="Times New Roman" w:eastAsiaTheme="minorEastAsia" w:hAnsi="Times New Roman"/>
          <w:noProof/>
          <w:sz w:val="24"/>
          <w:szCs w:val="24"/>
          <w:lang w:val="en-GB" w:eastAsia="zh-CN"/>
        </w:rPr>
        <w:t xml:space="preserve"> are particularly interesting in the context of British citizens</w:t>
      </w:r>
      <w:r w:rsidR="00E22BB5">
        <w:rPr>
          <w:rFonts w:ascii="Times New Roman" w:eastAsiaTheme="minorEastAsia" w:hAnsi="Times New Roman"/>
          <w:noProof/>
          <w:sz w:val="24"/>
          <w:szCs w:val="24"/>
          <w:lang w:val="en-GB" w:eastAsia="zh-CN"/>
        </w:rPr>
        <w:t>,</w:t>
      </w:r>
      <w:r w:rsidRPr="00BD00A9">
        <w:rPr>
          <w:rFonts w:ascii="Times New Roman" w:eastAsiaTheme="minorEastAsia" w:hAnsi="Times New Roman"/>
          <w:noProof/>
          <w:sz w:val="24"/>
          <w:szCs w:val="24"/>
          <w:lang w:val="en-GB" w:eastAsia="zh-CN"/>
        </w:rPr>
        <w:t xml:space="preserve"> who have lost their rights as EU citizens as a result of the United Kingdom’s withdrawal from the EU. The three actions were brought separately before the Court by British citizens </w:t>
      </w:r>
      <w:r w:rsidR="00171282" w:rsidRPr="00BD00A9">
        <w:rPr>
          <w:rFonts w:ascii="Times New Roman" w:eastAsiaTheme="minorEastAsia" w:hAnsi="Times New Roman"/>
          <w:noProof/>
          <w:sz w:val="24"/>
          <w:szCs w:val="24"/>
          <w:lang w:val="en-GB" w:eastAsia="zh-CN"/>
        </w:rPr>
        <w:t>who</w:t>
      </w:r>
      <w:r w:rsidRPr="00BD00A9">
        <w:rPr>
          <w:rFonts w:ascii="Times New Roman" w:eastAsiaTheme="minorEastAsia" w:hAnsi="Times New Roman"/>
          <w:noProof/>
          <w:sz w:val="24"/>
          <w:szCs w:val="24"/>
          <w:lang w:val="en-GB" w:eastAsia="zh-CN"/>
        </w:rPr>
        <w:t xml:space="preserve"> tried to challenge the EU-UK Withdrawal Agreement and the Council’s decision</w:t>
      </w:r>
      <w:r w:rsidR="004C374D" w:rsidRPr="00BD00A9">
        <w:rPr>
          <w:rFonts w:ascii="Times New Roman" w:eastAsiaTheme="minorEastAsia" w:hAnsi="Times New Roman"/>
          <w:noProof/>
          <w:sz w:val="24"/>
          <w:szCs w:val="24"/>
          <w:lang w:val="en-GB" w:eastAsia="zh-CN"/>
        </w:rPr>
        <w:t xml:space="preserve"> on the conclusion of that agreement</w:t>
      </w:r>
      <w:r w:rsidRPr="00BD00A9">
        <w:rPr>
          <w:rFonts w:ascii="Times New Roman" w:eastAsiaTheme="minorEastAsia" w:hAnsi="Times New Roman"/>
          <w:noProof/>
          <w:sz w:val="24"/>
          <w:szCs w:val="24"/>
          <w:lang w:val="en-GB" w:eastAsia="zh-CN"/>
        </w:rPr>
        <w:t xml:space="preserve">, claiming, among other things, that those acts had deprived them of rights that they had exercised and acquired as EU citizens. The Court rejected these actions and confirmed that the loss of the status of </w:t>
      </w:r>
      <w:r w:rsidR="00246EE6" w:rsidRPr="00BD00A9">
        <w:rPr>
          <w:rFonts w:ascii="Times New Roman" w:eastAsiaTheme="minorEastAsia" w:hAnsi="Times New Roman"/>
          <w:noProof/>
          <w:sz w:val="24"/>
          <w:szCs w:val="24"/>
          <w:lang w:val="en-GB" w:eastAsia="zh-CN"/>
        </w:rPr>
        <w:t xml:space="preserve">EU </w:t>
      </w:r>
      <w:r w:rsidRPr="00BD00A9">
        <w:rPr>
          <w:rFonts w:ascii="Times New Roman" w:eastAsiaTheme="minorEastAsia" w:hAnsi="Times New Roman"/>
          <w:noProof/>
          <w:sz w:val="24"/>
          <w:szCs w:val="24"/>
          <w:lang w:val="en-GB" w:eastAsia="zh-CN"/>
        </w:rPr>
        <w:t xml:space="preserve">citizen, and consequently the loss of the rights attached to that status, </w:t>
      </w:r>
      <w:r w:rsidR="00171282" w:rsidRPr="00BD00A9">
        <w:rPr>
          <w:rFonts w:ascii="Times New Roman" w:eastAsiaTheme="minorEastAsia" w:hAnsi="Times New Roman"/>
          <w:noProof/>
          <w:sz w:val="24"/>
          <w:szCs w:val="24"/>
          <w:lang w:val="en-GB" w:eastAsia="zh-CN"/>
        </w:rPr>
        <w:t>wa</w:t>
      </w:r>
      <w:r w:rsidRPr="00BD00A9">
        <w:rPr>
          <w:rFonts w:ascii="Times New Roman" w:eastAsiaTheme="minorEastAsia" w:hAnsi="Times New Roman"/>
          <w:noProof/>
          <w:sz w:val="24"/>
          <w:szCs w:val="24"/>
          <w:lang w:val="en-GB" w:eastAsia="zh-CN"/>
        </w:rPr>
        <w:t>s an automatic consequence of the sole sovereign decision taken by the United Kingdom to withdraw from the E</w:t>
      </w:r>
      <w:r w:rsidR="00171282" w:rsidRPr="00BD00A9">
        <w:rPr>
          <w:rFonts w:ascii="Times New Roman" w:eastAsiaTheme="minorEastAsia" w:hAnsi="Times New Roman"/>
          <w:noProof/>
          <w:sz w:val="24"/>
          <w:szCs w:val="24"/>
          <w:lang w:val="en-GB" w:eastAsia="zh-CN"/>
        </w:rPr>
        <w:t>U</w:t>
      </w:r>
      <w:r w:rsidRPr="00BD00A9">
        <w:rPr>
          <w:rFonts w:ascii="Times New Roman" w:eastAsiaTheme="minorEastAsia" w:hAnsi="Times New Roman"/>
          <w:noProof/>
          <w:sz w:val="24"/>
          <w:szCs w:val="24"/>
          <w:lang w:val="en-GB" w:eastAsia="zh-CN"/>
        </w:rPr>
        <w:t xml:space="preserve">, and not of the </w:t>
      </w:r>
      <w:r w:rsidR="00171282" w:rsidRPr="00BD00A9">
        <w:rPr>
          <w:rFonts w:ascii="Times New Roman" w:eastAsiaTheme="minorEastAsia" w:hAnsi="Times New Roman"/>
          <w:noProof/>
          <w:sz w:val="24"/>
          <w:szCs w:val="24"/>
          <w:lang w:val="en-GB" w:eastAsia="zh-CN"/>
        </w:rPr>
        <w:t>W</w:t>
      </w:r>
      <w:r w:rsidRPr="00BD00A9">
        <w:rPr>
          <w:rFonts w:ascii="Times New Roman" w:eastAsiaTheme="minorEastAsia" w:hAnsi="Times New Roman"/>
          <w:noProof/>
          <w:sz w:val="24"/>
          <w:szCs w:val="24"/>
          <w:lang w:val="en-GB" w:eastAsia="zh-CN"/>
        </w:rPr>
        <w:t xml:space="preserve">ithdrawal </w:t>
      </w:r>
      <w:r w:rsidR="00171282" w:rsidRPr="00BD00A9">
        <w:rPr>
          <w:rFonts w:ascii="Times New Roman" w:eastAsiaTheme="minorEastAsia" w:hAnsi="Times New Roman"/>
          <w:noProof/>
          <w:sz w:val="24"/>
          <w:szCs w:val="24"/>
          <w:lang w:val="en-GB" w:eastAsia="zh-CN"/>
        </w:rPr>
        <w:t>A</w:t>
      </w:r>
      <w:r w:rsidRPr="00BD00A9">
        <w:rPr>
          <w:rFonts w:ascii="Times New Roman" w:eastAsiaTheme="minorEastAsia" w:hAnsi="Times New Roman"/>
          <w:noProof/>
          <w:sz w:val="24"/>
          <w:szCs w:val="24"/>
          <w:lang w:val="en-GB" w:eastAsia="zh-CN"/>
        </w:rPr>
        <w:t>greement or the Council’s decision.</w:t>
      </w:r>
      <w:r w:rsidR="00776777" w:rsidRPr="00BD00A9">
        <w:rPr>
          <w:rFonts w:ascii="Times New Roman" w:eastAsiaTheme="minorEastAsia" w:hAnsi="Times New Roman"/>
          <w:noProof/>
          <w:sz w:val="24"/>
          <w:szCs w:val="24"/>
          <w:lang w:val="en-GB" w:eastAsia="zh-CN"/>
        </w:rPr>
        <w:t xml:space="preserve"> </w:t>
      </w:r>
    </w:p>
    <w:p w14:paraId="2F2B745B" w14:textId="666F4F8D" w:rsidR="00984A0D" w:rsidRPr="00BD00A9" w:rsidRDefault="00171282" w:rsidP="00984A0D">
      <w:pPr>
        <w:spacing w:after="240" w:line="276" w:lineRule="auto"/>
        <w:jc w:val="both"/>
        <w:rPr>
          <w:rFonts w:ascii="Times New Roman" w:eastAsiaTheme="minorEastAsia" w:hAnsi="Times New Roman"/>
          <w:noProof/>
          <w:sz w:val="24"/>
          <w:szCs w:val="24"/>
          <w:lang w:val="en-GB" w:eastAsia="zh-CN"/>
        </w:rPr>
      </w:pPr>
      <w:r w:rsidRPr="00BD00A9">
        <w:rPr>
          <w:rFonts w:ascii="Times New Roman" w:eastAsiaTheme="minorEastAsia" w:hAnsi="Times New Roman"/>
          <w:noProof/>
          <w:sz w:val="24"/>
          <w:szCs w:val="24"/>
          <w:lang w:val="en-GB" w:eastAsia="zh-CN"/>
        </w:rPr>
        <w:t xml:space="preserve">The </w:t>
      </w:r>
      <w:r w:rsidR="00776777" w:rsidRPr="00BD00A9">
        <w:rPr>
          <w:rFonts w:ascii="Times New Roman" w:eastAsiaTheme="minorEastAsia" w:hAnsi="Times New Roman"/>
          <w:b/>
          <w:bCs/>
          <w:i/>
          <w:iCs/>
          <w:noProof/>
          <w:sz w:val="24"/>
          <w:szCs w:val="24"/>
          <w:lang w:val="en-GB" w:eastAsia="zh-CN"/>
        </w:rPr>
        <w:t>JY v Wiener Landesregierung</w:t>
      </w:r>
      <w:r w:rsidR="00776777" w:rsidRPr="00BD00A9">
        <w:rPr>
          <w:rFonts w:ascii="Times New Roman" w:eastAsiaTheme="minorEastAsia" w:hAnsi="Times New Roman"/>
          <w:noProof/>
          <w:sz w:val="24"/>
          <w:szCs w:val="24"/>
          <w:vertAlign w:val="superscript"/>
          <w:lang w:val="en-GB" w:eastAsia="zh-CN"/>
        </w:rPr>
        <w:footnoteReference w:id="35"/>
      </w:r>
      <w:r w:rsidR="00776777" w:rsidRPr="00BD00A9">
        <w:rPr>
          <w:rFonts w:ascii="Times New Roman" w:eastAsiaTheme="minorEastAsia" w:hAnsi="Times New Roman"/>
          <w:noProof/>
          <w:sz w:val="24"/>
          <w:szCs w:val="24"/>
          <w:lang w:val="en-GB" w:eastAsia="zh-CN"/>
        </w:rPr>
        <w:t xml:space="preserve"> </w:t>
      </w:r>
      <w:r w:rsidRPr="00BD00A9">
        <w:rPr>
          <w:rFonts w:ascii="Times New Roman" w:eastAsiaTheme="minorEastAsia" w:hAnsi="Times New Roman"/>
          <w:noProof/>
          <w:sz w:val="24"/>
          <w:szCs w:val="24"/>
          <w:lang w:val="en-GB" w:eastAsia="zh-CN"/>
        </w:rPr>
        <w:t xml:space="preserve">judgment </w:t>
      </w:r>
      <w:r w:rsidR="00776777" w:rsidRPr="00BD00A9">
        <w:rPr>
          <w:rFonts w:ascii="Times New Roman" w:eastAsiaTheme="minorEastAsia" w:hAnsi="Times New Roman"/>
          <w:noProof/>
          <w:sz w:val="24"/>
          <w:szCs w:val="24"/>
          <w:lang w:val="en-GB" w:eastAsia="zh-CN"/>
        </w:rPr>
        <w:t>is</w:t>
      </w:r>
      <w:r w:rsidRPr="00BD00A9">
        <w:rPr>
          <w:rFonts w:ascii="Times New Roman" w:eastAsiaTheme="minorEastAsia" w:hAnsi="Times New Roman"/>
          <w:noProof/>
          <w:sz w:val="24"/>
          <w:szCs w:val="24"/>
          <w:lang w:val="en-GB" w:eastAsia="zh-CN"/>
        </w:rPr>
        <w:t xml:space="preserve"> also</w:t>
      </w:r>
      <w:r w:rsidR="00776777" w:rsidRPr="00BD00A9">
        <w:rPr>
          <w:rFonts w:ascii="Times New Roman" w:eastAsiaTheme="minorEastAsia" w:hAnsi="Times New Roman"/>
          <w:noProof/>
          <w:sz w:val="24"/>
          <w:szCs w:val="24"/>
          <w:lang w:val="en-GB" w:eastAsia="zh-CN"/>
        </w:rPr>
        <w:t xml:space="preserve"> highlighted in this report as it tackles the relationship between Member State nationality and EU citizenship. The case builds on the two previous judgments </w:t>
      </w:r>
      <w:r w:rsidRPr="00BD00A9">
        <w:rPr>
          <w:rFonts w:ascii="Times New Roman" w:eastAsiaTheme="minorEastAsia" w:hAnsi="Times New Roman"/>
          <w:noProof/>
          <w:sz w:val="24"/>
          <w:szCs w:val="24"/>
          <w:lang w:val="en-GB" w:eastAsia="zh-CN"/>
        </w:rPr>
        <w:t xml:space="preserve">- </w:t>
      </w:r>
      <w:r w:rsidR="00776777" w:rsidRPr="00BD00A9">
        <w:rPr>
          <w:rFonts w:ascii="Times New Roman" w:eastAsiaTheme="minorEastAsia" w:hAnsi="Times New Roman"/>
          <w:i/>
          <w:iCs/>
          <w:noProof/>
          <w:sz w:val="24"/>
          <w:szCs w:val="24"/>
          <w:lang w:val="en-GB" w:eastAsia="zh-CN"/>
        </w:rPr>
        <w:t>Rottmann</w:t>
      </w:r>
      <w:r w:rsidR="004C374D" w:rsidRPr="00BD00A9">
        <w:rPr>
          <w:rStyle w:val="FootnoteReference"/>
          <w:rFonts w:ascii="Times New Roman" w:eastAsiaTheme="minorEastAsia" w:hAnsi="Times New Roman"/>
          <w:i/>
          <w:iCs/>
          <w:noProof/>
          <w:sz w:val="24"/>
          <w:szCs w:val="24"/>
          <w:lang w:val="en-GB" w:eastAsia="zh-CN"/>
        </w:rPr>
        <w:footnoteReference w:id="36"/>
      </w:r>
      <w:r w:rsidR="00776777" w:rsidRPr="00BD00A9">
        <w:rPr>
          <w:rFonts w:ascii="Times New Roman" w:eastAsiaTheme="minorEastAsia" w:hAnsi="Times New Roman"/>
          <w:noProof/>
          <w:sz w:val="24"/>
          <w:szCs w:val="24"/>
          <w:lang w:val="en-GB" w:eastAsia="zh-CN"/>
        </w:rPr>
        <w:t xml:space="preserve"> and </w:t>
      </w:r>
      <w:r w:rsidR="00776777" w:rsidRPr="00BD00A9">
        <w:rPr>
          <w:rFonts w:ascii="Times New Roman" w:eastAsiaTheme="minorEastAsia" w:hAnsi="Times New Roman"/>
          <w:i/>
          <w:iCs/>
          <w:noProof/>
          <w:sz w:val="24"/>
          <w:szCs w:val="24"/>
          <w:lang w:val="en-GB" w:eastAsia="zh-CN"/>
        </w:rPr>
        <w:t>Tjebbes</w:t>
      </w:r>
      <w:r w:rsidR="004C374D" w:rsidRPr="00BD00A9">
        <w:rPr>
          <w:rStyle w:val="FootnoteReference"/>
          <w:rFonts w:ascii="Times New Roman" w:eastAsiaTheme="minorEastAsia" w:hAnsi="Times New Roman"/>
          <w:i/>
          <w:iCs/>
          <w:noProof/>
          <w:sz w:val="24"/>
          <w:szCs w:val="24"/>
          <w:lang w:val="en-GB" w:eastAsia="zh-CN"/>
        </w:rPr>
        <w:footnoteReference w:id="37"/>
      </w:r>
      <w:r w:rsidRPr="00BD00A9">
        <w:rPr>
          <w:rFonts w:ascii="Times New Roman" w:eastAsiaTheme="minorEastAsia" w:hAnsi="Times New Roman"/>
          <w:i/>
          <w:iCs/>
          <w:noProof/>
          <w:sz w:val="24"/>
          <w:szCs w:val="24"/>
          <w:lang w:val="en-GB" w:eastAsia="zh-CN"/>
        </w:rPr>
        <w:t xml:space="preserve"> -</w:t>
      </w:r>
      <w:r w:rsidR="00776777" w:rsidRPr="00BD00A9">
        <w:rPr>
          <w:rFonts w:ascii="Times New Roman" w:eastAsiaTheme="minorEastAsia" w:hAnsi="Times New Roman"/>
          <w:noProof/>
          <w:sz w:val="24"/>
          <w:szCs w:val="24"/>
          <w:lang w:val="en-GB" w:eastAsia="zh-CN"/>
        </w:rPr>
        <w:t>, in which the C</w:t>
      </w:r>
      <w:r w:rsidRPr="00BD00A9">
        <w:rPr>
          <w:rFonts w:ascii="Times New Roman" w:eastAsiaTheme="minorEastAsia" w:hAnsi="Times New Roman"/>
          <w:noProof/>
          <w:sz w:val="24"/>
          <w:szCs w:val="24"/>
          <w:lang w:val="en-GB" w:eastAsia="zh-CN"/>
        </w:rPr>
        <w:t>ourt</w:t>
      </w:r>
      <w:r w:rsidR="00776777" w:rsidRPr="00BD00A9">
        <w:rPr>
          <w:rFonts w:ascii="Times New Roman" w:eastAsiaTheme="minorEastAsia" w:hAnsi="Times New Roman"/>
          <w:noProof/>
          <w:sz w:val="24"/>
          <w:szCs w:val="24"/>
          <w:lang w:val="en-GB" w:eastAsia="zh-CN"/>
        </w:rPr>
        <w:t xml:space="preserve"> was confronted with the question </w:t>
      </w:r>
      <w:r w:rsidRPr="00BD00A9">
        <w:rPr>
          <w:rFonts w:ascii="Times New Roman" w:eastAsiaTheme="minorEastAsia" w:hAnsi="Times New Roman"/>
          <w:noProof/>
          <w:sz w:val="24"/>
          <w:szCs w:val="24"/>
          <w:lang w:val="en-GB" w:eastAsia="zh-CN"/>
        </w:rPr>
        <w:t xml:space="preserve">of </w:t>
      </w:r>
      <w:r w:rsidR="00776777" w:rsidRPr="00BD00A9">
        <w:rPr>
          <w:rFonts w:ascii="Times New Roman" w:eastAsiaTheme="minorEastAsia" w:hAnsi="Times New Roman"/>
          <w:noProof/>
          <w:sz w:val="24"/>
          <w:szCs w:val="24"/>
          <w:lang w:val="en-GB" w:eastAsia="zh-CN"/>
        </w:rPr>
        <w:t xml:space="preserve">whether EU law imposed limits on the competence of national authorities withdrawing the nationality of a Member State in situations where the status of EU citizen is equally lost. </w:t>
      </w:r>
      <w:r w:rsidR="00984A0D" w:rsidRPr="00BD00A9">
        <w:rPr>
          <w:rFonts w:ascii="Times New Roman" w:eastAsiaTheme="minorEastAsia" w:hAnsi="Times New Roman"/>
          <w:noProof/>
          <w:sz w:val="24"/>
          <w:szCs w:val="24"/>
          <w:lang w:val="en-GB" w:eastAsia="zh-CN"/>
        </w:rPr>
        <w:t>In th</w:t>
      </w:r>
      <w:r w:rsidR="004C374D" w:rsidRPr="00BD00A9">
        <w:rPr>
          <w:rFonts w:ascii="Times New Roman" w:eastAsiaTheme="minorEastAsia" w:hAnsi="Times New Roman"/>
          <w:noProof/>
          <w:sz w:val="24"/>
          <w:szCs w:val="24"/>
          <w:lang w:val="en-GB" w:eastAsia="zh-CN"/>
        </w:rPr>
        <w:t>e JY case</w:t>
      </w:r>
      <w:r w:rsidR="00984A0D" w:rsidRPr="00BD00A9">
        <w:rPr>
          <w:rFonts w:ascii="Times New Roman" w:eastAsiaTheme="minorEastAsia" w:hAnsi="Times New Roman"/>
          <w:noProof/>
          <w:sz w:val="24"/>
          <w:szCs w:val="24"/>
          <w:lang w:val="en-GB" w:eastAsia="zh-CN"/>
        </w:rPr>
        <w:t>, an Estonian national voluntarily</w:t>
      </w:r>
      <w:r w:rsidR="00984A0D" w:rsidRPr="00BD00A9">
        <w:rPr>
          <w:rFonts w:ascii="Times New Roman" w:eastAsiaTheme="minorEastAsia" w:hAnsi="Times New Roman"/>
          <w:i/>
          <w:noProof/>
          <w:sz w:val="24"/>
          <w:szCs w:val="24"/>
          <w:lang w:val="en-GB" w:eastAsia="zh-CN"/>
        </w:rPr>
        <w:t xml:space="preserve"> </w:t>
      </w:r>
      <w:r w:rsidR="00984A0D" w:rsidRPr="00BD00A9">
        <w:rPr>
          <w:rFonts w:ascii="Times New Roman" w:eastAsiaTheme="minorEastAsia" w:hAnsi="Times New Roman"/>
          <w:noProof/>
          <w:sz w:val="24"/>
          <w:szCs w:val="24"/>
          <w:lang w:val="en-GB" w:eastAsia="zh-CN"/>
        </w:rPr>
        <w:t>renounced her Estonian nationality after obtain</w:t>
      </w:r>
      <w:r w:rsidRPr="00BD00A9">
        <w:rPr>
          <w:rFonts w:ascii="Times New Roman" w:eastAsiaTheme="minorEastAsia" w:hAnsi="Times New Roman"/>
          <w:noProof/>
          <w:sz w:val="24"/>
          <w:szCs w:val="24"/>
          <w:lang w:val="en-GB" w:eastAsia="zh-CN"/>
        </w:rPr>
        <w:t>ing</w:t>
      </w:r>
      <w:r w:rsidR="00984A0D" w:rsidRPr="00BD00A9">
        <w:rPr>
          <w:rFonts w:ascii="Times New Roman" w:eastAsiaTheme="minorEastAsia" w:hAnsi="Times New Roman"/>
          <w:noProof/>
          <w:sz w:val="24"/>
          <w:szCs w:val="24"/>
          <w:lang w:val="en-GB" w:eastAsia="zh-CN"/>
        </w:rPr>
        <w:t xml:space="preserve"> assurances </w:t>
      </w:r>
      <w:r w:rsidR="009512DD" w:rsidRPr="00BD00A9">
        <w:rPr>
          <w:rFonts w:ascii="Times New Roman" w:eastAsiaTheme="minorEastAsia" w:hAnsi="Times New Roman"/>
          <w:noProof/>
          <w:sz w:val="24"/>
          <w:szCs w:val="24"/>
          <w:lang w:val="en-GB" w:eastAsia="zh-CN"/>
        </w:rPr>
        <w:t xml:space="preserve">that she would be </w:t>
      </w:r>
      <w:r w:rsidR="00984A0D" w:rsidRPr="00BD00A9">
        <w:rPr>
          <w:rFonts w:ascii="Times New Roman" w:eastAsiaTheme="minorEastAsia" w:hAnsi="Times New Roman"/>
          <w:noProof/>
          <w:sz w:val="24"/>
          <w:szCs w:val="24"/>
          <w:lang w:val="en-GB" w:eastAsia="zh-CN"/>
        </w:rPr>
        <w:t>grant</w:t>
      </w:r>
      <w:r w:rsidR="009512DD" w:rsidRPr="00BD00A9">
        <w:rPr>
          <w:rFonts w:ascii="Times New Roman" w:eastAsiaTheme="minorEastAsia" w:hAnsi="Times New Roman"/>
          <w:noProof/>
          <w:sz w:val="24"/>
          <w:szCs w:val="24"/>
          <w:lang w:val="en-GB" w:eastAsia="zh-CN"/>
        </w:rPr>
        <w:t>ed</w:t>
      </w:r>
      <w:r w:rsidR="00984A0D" w:rsidRPr="00BD00A9">
        <w:rPr>
          <w:rFonts w:ascii="Times New Roman" w:eastAsiaTheme="minorEastAsia" w:hAnsi="Times New Roman"/>
          <w:noProof/>
          <w:sz w:val="24"/>
          <w:szCs w:val="24"/>
          <w:lang w:val="en-GB" w:eastAsia="zh-CN"/>
        </w:rPr>
        <w:t xml:space="preserve"> Austrian nationality</w:t>
      </w:r>
      <w:r w:rsidR="004C374D" w:rsidRPr="00BD00A9">
        <w:rPr>
          <w:rFonts w:ascii="Times New Roman" w:eastAsiaTheme="minorEastAsia" w:hAnsi="Times New Roman"/>
          <w:noProof/>
          <w:sz w:val="24"/>
          <w:szCs w:val="24"/>
          <w:lang w:val="en-GB" w:eastAsia="zh-CN"/>
        </w:rPr>
        <w:t xml:space="preserve"> upon renouncing other nationalities</w:t>
      </w:r>
      <w:r w:rsidR="00984A0D" w:rsidRPr="00BD00A9">
        <w:rPr>
          <w:rFonts w:ascii="Times New Roman" w:eastAsiaTheme="minorEastAsia" w:hAnsi="Times New Roman"/>
          <w:noProof/>
          <w:sz w:val="24"/>
          <w:szCs w:val="24"/>
          <w:lang w:val="en-GB" w:eastAsia="zh-CN"/>
        </w:rPr>
        <w:t xml:space="preserve">. However, due to several </w:t>
      </w:r>
      <w:r w:rsidR="00ED6111" w:rsidRPr="00BD00A9">
        <w:rPr>
          <w:rFonts w:ascii="Times New Roman" w:eastAsiaTheme="minorEastAsia" w:hAnsi="Times New Roman"/>
          <w:noProof/>
          <w:sz w:val="24"/>
          <w:szCs w:val="24"/>
          <w:lang w:val="en-GB" w:eastAsia="zh-CN"/>
        </w:rPr>
        <w:t xml:space="preserve">administrative </w:t>
      </w:r>
      <w:r w:rsidR="00984A0D" w:rsidRPr="00BD00A9">
        <w:rPr>
          <w:rFonts w:ascii="Times New Roman" w:eastAsiaTheme="minorEastAsia" w:hAnsi="Times New Roman"/>
          <w:noProof/>
          <w:sz w:val="24"/>
          <w:szCs w:val="24"/>
          <w:lang w:val="en-GB" w:eastAsia="zh-CN"/>
        </w:rPr>
        <w:t xml:space="preserve">offences the </w:t>
      </w:r>
      <w:r w:rsidR="009512DD" w:rsidRPr="00BD00A9">
        <w:rPr>
          <w:rFonts w:ascii="Times New Roman" w:eastAsiaTheme="minorEastAsia" w:hAnsi="Times New Roman"/>
          <w:noProof/>
          <w:sz w:val="24"/>
          <w:szCs w:val="24"/>
          <w:lang w:val="en-GB" w:eastAsia="zh-CN"/>
        </w:rPr>
        <w:t xml:space="preserve">competent </w:t>
      </w:r>
      <w:r w:rsidR="00984A0D" w:rsidRPr="00BD00A9">
        <w:rPr>
          <w:rFonts w:ascii="Times New Roman" w:eastAsiaTheme="minorEastAsia" w:hAnsi="Times New Roman"/>
          <w:noProof/>
          <w:sz w:val="24"/>
          <w:szCs w:val="24"/>
          <w:lang w:val="en-GB" w:eastAsia="zh-CN"/>
        </w:rPr>
        <w:t>Austrian  authority later revoked its assurance as to the grant</w:t>
      </w:r>
      <w:r w:rsidR="00497DF5" w:rsidRPr="00BD00A9">
        <w:rPr>
          <w:rFonts w:ascii="Times New Roman" w:eastAsiaTheme="minorEastAsia" w:hAnsi="Times New Roman"/>
          <w:noProof/>
          <w:sz w:val="24"/>
          <w:szCs w:val="24"/>
          <w:lang w:val="en-GB" w:eastAsia="zh-CN"/>
        </w:rPr>
        <w:t>ing</w:t>
      </w:r>
      <w:r w:rsidR="00984A0D" w:rsidRPr="00BD00A9">
        <w:rPr>
          <w:rFonts w:ascii="Times New Roman" w:eastAsiaTheme="minorEastAsia" w:hAnsi="Times New Roman"/>
          <w:noProof/>
          <w:sz w:val="24"/>
          <w:szCs w:val="24"/>
          <w:lang w:val="en-GB" w:eastAsia="zh-CN"/>
        </w:rPr>
        <w:t xml:space="preserve"> of Austrian nationality. The Court confirmed that the loss of the status of EU citizen falls, by reason of its nature and its consequences, within the scope of EU law where the assurance as to the grant of another Member State nationality is revoked with the effect of preventing that person from recovering the status of EU citizen. Although Member States hold exclusive competence to establish rules for the acquisition or loss of nationality, the authorities of the naturalising Member State must take into account the EU law principle of proportionality when seeking to revoke a previously given assurance as to the grant of the host Member State’s nationality. In this case</w:t>
      </w:r>
      <w:r w:rsidR="009F09BB" w:rsidRPr="00BD00A9">
        <w:rPr>
          <w:rFonts w:ascii="Times New Roman" w:eastAsiaTheme="minorEastAsia" w:hAnsi="Times New Roman"/>
          <w:noProof/>
          <w:sz w:val="24"/>
          <w:szCs w:val="24"/>
          <w:lang w:val="en-GB" w:eastAsia="zh-CN"/>
        </w:rPr>
        <w:t>,</w:t>
      </w:r>
      <w:r w:rsidR="00984A0D" w:rsidRPr="00BD00A9">
        <w:rPr>
          <w:rFonts w:ascii="Times New Roman" w:eastAsiaTheme="minorEastAsia" w:hAnsi="Times New Roman"/>
          <w:noProof/>
          <w:sz w:val="24"/>
          <w:szCs w:val="24"/>
          <w:lang w:val="en-GB" w:eastAsia="zh-CN"/>
        </w:rPr>
        <w:t xml:space="preserve"> the Cour</w:t>
      </w:r>
      <w:r w:rsidR="00C12632" w:rsidRPr="00BD00A9">
        <w:rPr>
          <w:rFonts w:ascii="Times New Roman" w:eastAsiaTheme="minorEastAsia" w:hAnsi="Times New Roman"/>
          <w:noProof/>
          <w:sz w:val="24"/>
          <w:szCs w:val="24"/>
          <w:lang w:val="en-GB" w:eastAsia="zh-CN"/>
        </w:rPr>
        <w:t>t</w:t>
      </w:r>
      <w:r w:rsidR="00984A0D" w:rsidRPr="00BD00A9">
        <w:rPr>
          <w:rFonts w:ascii="Times New Roman" w:eastAsiaTheme="minorEastAsia" w:hAnsi="Times New Roman"/>
          <w:noProof/>
          <w:sz w:val="24"/>
          <w:szCs w:val="24"/>
          <w:lang w:val="en-GB" w:eastAsia="zh-CN"/>
        </w:rPr>
        <w:t xml:space="preserve"> confirmed that the principle of proportionality </w:t>
      </w:r>
      <w:r w:rsidR="004C374D" w:rsidRPr="00BD00A9">
        <w:rPr>
          <w:rFonts w:ascii="Times New Roman" w:eastAsiaTheme="minorEastAsia" w:hAnsi="Times New Roman"/>
          <w:noProof/>
          <w:sz w:val="24"/>
          <w:szCs w:val="24"/>
          <w:lang w:val="en-GB" w:eastAsia="zh-CN"/>
        </w:rPr>
        <w:t>i</w:t>
      </w:r>
      <w:r w:rsidR="00984A0D" w:rsidRPr="00BD00A9">
        <w:rPr>
          <w:rFonts w:ascii="Times New Roman" w:eastAsiaTheme="minorEastAsia" w:hAnsi="Times New Roman"/>
          <w:noProof/>
          <w:sz w:val="24"/>
          <w:szCs w:val="24"/>
          <w:lang w:val="en-GB" w:eastAsia="zh-CN"/>
        </w:rPr>
        <w:t xml:space="preserve">s not satisfied where such a </w:t>
      </w:r>
      <w:r w:rsidR="004C374D" w:rsidRPr="00BD00A9">
        <w:rPr>
          <w:rFonts w:ascii="Times New Roman" w:eastAsiaTheme="minorEastAsia" w:hAnsi="Times New Roman"/>
          <w:noProof/>
          <w:sz w:val="24"/>
          <w:szCs w:val="24"/>
          <w:lang w:val="en-GB" w:eastAsia="zh-CN"/>
        </w:rPr>
        <w:t xml:space="preserve">revocation </w:t>
      </w:r>
      <w:r w:rsidR="00984A0D" w:rsidRPr="00BD00A9">
        <w:rPr>
          <w:rFonts w:ascii="Times New Roman" w:eastAsiaTheme="minorEastAsia" w:hAnsi="Times New Roman"/>
          <w:noProof/>
          <w:sz w:val="24"/>
          <w:szCs w:val="24"/>
          <w:lang w:val="en-GB" w:eastAsia="zh-CN"/>
        </w:rPr>
        <w:t>decision is based on administrative traffic offences which, under the applicable provisions of national law, give rise to a mere pecuniary penalt</w:t>
      </w:r>
      <w:r w:rsidR="00C12632" w:rsidRPr="00BD00A9">
        <w:rPr>
          <w:rFonts w:ascii="Times New Roman" w:eastAsiaTheme="minorEastAsia" w:hAnsi="Times New Roman"/>
          <w:noProof/>
          <w:sz w:val="24"/>
          <w:szCs w:val="24"/>
          <w:lang w:val="en-GB" w:eastAsia="zh-CN"/>
        </w:rPr>
        <w:t>y.</w:t>
      </w:r>
    </w:p>
    <w:p w14:paraId="1653E28B" w14:textId="10C8664D" w:rsidR="008F7755" w:rsidRPr="00BD00A9" w:rsidRDefault="008F7755" w:rsidP="008F7755">
      <w:pPr>
        <w:spacing w:after="240" w:line="276" w:lineRule="auto"/>
        <w:jc w:val="both"/>
        <w:rPr>
          <w:rFonts w:ascii="Times New Roman" w:eastAsiaTheme="minorEastAsia" w:hAnsi="Times New Roman"/>
          <w:noProof/>
          <w:sz w:val="24"/>
          <w:szCs w:val="24"/>
          <w:lang w:val="en-IE" w:eastAsia="zh-CN"/>
        </w:rPr>
      </w:pPr>
      <w:r w:rsidRPr="00BD00A9">
        <w:rPr>
          <w:rFonts w:ascii="Times New Roman" w:eastAsiaTheme="minorEastAsia" w:hAnsi="Times New Roman"/>
          <w:noProof/>
          <w:sz w:val="24"/>
          <w:szCs w:val="24"/>
          <w:lang w:val="en-IE" w:eastAsia="zh-CN"/>
        </w:rPr>
        <w:t xml:space="preserve">These and other cases concerning EU </w:t>
      </w:r>
      <w:r w:rsidR="009F09BB" w:rsidRPr="00BD00A9">
        <w:rPr>
          <w:rFonts w:ascii="Times New Roman" w:eastAsiaTheme="minorEastAsia" w:hAnsi="Times New Roman"/>
          <w:noProof/>
          <w:sz w:val="24"/>
          <w:szCs w:val="24"/>
          <w:lang w:val="en-IE" w:eastAsia="zh-CN"/>
        </w:rPr>
        <w:t>c</w:t>
      </w:r>
      <w:r w:rsidRPr="00BD00A9">
        <w:rPr>
          <w:rFonts w:ascii="Times New Roman" w:eastAsiaTheme="minorEastAsia" w:hAnsi="Times New Roman"/>
          <w:noProof/>
          <w:sz w:val="24"/>
          <w:szCs w:val="24"/>
          <w:lang w:val="en-IE" w:eastAsia="zh-CN"/>
        </w:rPr>
        <w:t xml:space="preserve">itizenship are explained in more detail </w:t>
      </w:r>
      <w:r w:rsidR="00C12632" w:rsidRPr="00BD00A9">
        <w:rPr>
          <w:rFonts w:ascii="Times New Roman" w:eastAsiaTheme="minorEastAsia" w:hAnsi="Times New Roman"/>
          <w:noProof/>
          <w:sz w:val="24"/>
          <w:szCs w:val="24"/>
          <w:lang w:val="en-IE" w:eastAsia="zh-CN"/>
        </w:rPr>
        <w:t>in</w:t>
      </w:r>
      <w:r w:rsidRPr="00BD00A9">
        <w:rPr>
          <w:rFonts w:ascii="Times New Roman" w:eastAsiaTheme="minorEastAsia" w:hAnsi="Times New Roman"/>
          <w:noProof/>
          <w:sz w:val="24"/>
          <w:szCs w:val="24"/>
          <w:lang w:val="en-IE" w:eastAsia="zh-CN"/>
        </w:rPr>
        <w:t xml:space="preserve"> Annex II.</w:t>
      </w:r>
      <w:r w:rsidRPr="00BD00A9">
        <w:rPr>
          <w:noProof/>
        </w:rPr>
        <w:t xml:space="preserve"> </w:t>
      </w:r>
    </w:p>
    <w:p w14:paraId="36AF092C" w14:textId="1B0B447D" w:rsidR="00534D5C" w:rsidRPr="00BD00A9" w:rsidRDefault="00534D5C" w:rsidP="00D855E4">
      <w:pPr>
        <w:pStyle w:val="Heading1"/>
        <w:rPr>
          <w:lang w:val="en-IE"/>
        </w:rPr>
      </w:pPr>
      <w:bookmarkStart w:id="25" w:name="_Toc150854706"/>
      <w:bookmarkStart w:id="26" w:name="_Toc152502487"/>
      <w:r w:rsidRPr="00BD00A9">
        <w:rPr>
          <w:lang w:val="en-IE"/>
        </w:rPr>
        <w:t>Non-discrimination on grounds of nationality (Article 18 TFEU)</w:t>
      </w:r>
      <w:bookmarkStart w:id="27" w:name="_Hlk146296974"/>
      <w:bookmarkEnd w:id="25"/>
      <w:bookmarkEnd w:id="26"/>
    </w:p>
    <w:p w14:paraId="31BD204A" w14:textId="766D3034" w:rsidR="00534D5C" w:rsidRPr="00BD00A9" w:rsidRDefault="00DD25C9" w:rsidP="00534D5C">
      <w:pPr>
        <w:pStyle w:val="Heading2"/>
        <w:spacing w:before="0"/>
      </w:pPr>
      <w:bookmarkStart w:id="28" w:name="_Toc150854707"/>
      <w:bookmarkStart w:id="29" w:name="_Toc152502488"/>
      <w:bookmarkEnd w:id="27"/>
      <w:r w:rsidRPr="00BD00A9">
        <w:t>Introduction</w:t>
      </w:r>
      <w:bookmarkEnd w:id="28"/>
      <w:bookmarkEnd w:id="29"/>
    </w:p>
    <w:p w14:paraId="1830CE68" w14:textId="49270F5A" w:rsidR="00D855E4" w:rsidRPr="00BD00A9" w:rsidRDefault="004A2BD5" w:rsidP="004A2BD5">
      <w:pPr>
        <w:spacing w:after="240" w:line="276" w:lineRule="auto"/>
        <w:jc w:val="both"/>
        <w:rPr>
          <w:rFonts w:ascii="Times New Roman" w:hAnsi="Times New Roman"/>
          <w:noProof/>
          <w:sz w:val="24"/>
          <w:szCs w:val="24"/>
          <w:lang w:val="en-IE"/>
        </w:rPr>
      </w:pPr>
      <w:r w:rsidRPr="00BD00A9">
        <w:rPr>
          <w:rFonts w:ascii="Times New Roman" w:eastAsiaTheme="minorEastAsia" w:hAnsi="Times New Roman"/>
          <w:noProof/>
          <w:sz w:val="24"/>
          <w:szCs w:val="24"/>
          <w:lang w:val="en-IE" w:eastAsia="zh-CN"/>
        </w:rPr>
        <w:t>Article 18 TFEU</w:t>
      </w:r>
      <w:r w:rsidRPr="00BD00A9">
        <w:rPr>
          <w:rStyle w:val="FootnoteReference"/>
          <w:rFonts w:ascii="Times New Roman" w:eastAsiaTheme="minorEastAsia" w:hAnsi="Times New Roman"/>
          <w:noProof/>
          <w:sz w:val="24"/>
          <w:szCs w:val="24"/>
          <w:lang w:val="en-IE" w:eastAsia="zh-CN"/>
        </w:rPr>
        <w:footnoteReference w:id="38"/>
      </w:r>
      <w:r w:rsidRPr="00BD00A9">
        <w:rPr>
          <w:rFonts w:ascii="Times New Roman" w:eastAsiaTheme="minorEastAsia" w:hAnsi="Times New Roman"/>
          <w:noProof/>
          <w:sz w:val="24"/>
          <w:szCs w:val="24"/>
          <w:lang w:val="en-IE" w:eastAsia="zh-CN"/>
        </w:rPr>
        <w:t xml:space="preserve"> prohibits discrimination on grounds of nationality within the scope of application of the Treaties.</w:t>
      </w:r>
      <w:r w:rsidRPr="00BD00A9">
        <w:rPr>
          <w:rFonts w:ascii="Times New Roman" w:hAnsi="Times New Roman"/>
          <w:noProof/>
          <w:sz w:val="24"/>
          <w:szCs w:val="24"/>
          <w:lang w:val="en-IE"/>
        </w:rPr>
        <w:t xml:space="preserve"> </w:t>
      </w:r>
      <w:r w:rsidR="005A0301" w:rsidRPr="00BD00A9">
        <w:rPr>
          <w:rFonts w:ascii="Times New Roman" w:hAnsi="Times New Roman"/>
          <w:noProof/>
          <w:sz w:val="24"/>
          <w:szCs w:val="24"/>
          <w:lang w:val="en-IE"/>
        </w:rPr>
        <w:t xml:space="preserve">According to the 2023 Eurobarometer on </w:t>
      </w:r>
      <w:r w:rsidR="009F09BB" w:rsidRPr="00BD00A9">
        <w:rPr>
          <w:rFonts w:ascii="Times New Roman" w:hAnsi="Times New Roman"/>
          <w:noProof/>
          <w:sz w:val="24"/>
          <w:szCs w:val="24"/>
          <w:lang w:val="en-IE"/>
        </w:rPr>
        <w:t>c</w:t>
      </w:r>
      <w:r w:rsidR="005A0301" w:rsidRPr="00BD00A9">
        <w:rPr>
          <w:rFonts w:ascii="Times New Roman" w:hAnsi="Times New Roman"/>
          <w:noProof/>
          <w:sz w:val="24"/>
          <w:szCs w:val="24"/>
          <w:lang w:val="en-IE"/>
        </w:rPr>
        <w:t xml:space="preserve">itizenship and </w:t>
      </w:r>
      <w:r w:rsidR="009F09BB" w:rsidRPr="00BD00A9">
        <w:rPr>
          <w:rFonts w:ascii="Times New Roman" w:hAnsi="Times New Roman"/>
          <w:noProof/>
          <w:sz w:val="24"/>
          <w:szCs w:val="24"/>
          <w:lang w:val="en-IE"/>
        </w:rPr>
        <w:t>d</w:t>
      </w:r>
      <w:r w:rsidR="005A0301" w:rsidRPr="00BD00A9">
        <w:rPr>
          <w:rFonts w:ascii="Times New Roman" w:hAnsi="Times New Roman"/>
          <w:noProof/>
          <w:sz w:val="24"/>
          <w:szCs w:val="24"/>
          <w:lang w:val="en-IE"/>
        </w:rPr>
        <w:t>emocracy, 77% of EU citizens know that, when in another EU Member State, they have the right to be treated in the same way as a national of that Member State.</w:t>
      </w:r>
    </w:p>
    <w:p w14:paraId="24535AAF" w14:textId="61A47B1E" w:rsidR="00D855E4" w:rsidRPr="00BD00A9" w:rsidRDefault="00D855E4" w:rsidP="00D855E4">
      <w:pPr>
        <w:pStyle w:val="Heading2"/>
      </w:pPr>
      <w:bookmarkStart w:id="30" w:name="_Toc150854708"/>
      <w:bookmarkStart w:id="31" w:name="_Toc152502489"/>
      <w:r w:rsidRPr="00BD00A9">
        <w:t>Case</w:t>
      </w:r>
      <w:r w:rsidR="00904724" w:rsidRPr="00BD00A9">
        <w:t xml:space="preserve"> </w:t>
      </w:r>
      <w:r w:rsidRPr="00BD00A9">
        <w:t>law developments</w:t>
      </w:r>
      <w:bookmarkEnd w:id="30"/>
      <w:bookmarkEnd w:id="31"/>
    </w:p>
    <w:p w14:paraId="185A5EB0" w14:textId="79C9E0A5" w:rsidR="008F7755" w:rsidRPr="00BD00A9" w:rsidRDefault="045360F2" w:rsidP="00776777">
      <w:pPr>
        <w:spacing w:after="240" w:line="276" w:lineRule="auto"/>
        <w:jc w:val="both"/>
        <w:rPr>
          <w:rFonts w:ascii="Times New Roman" w:eastAsiaTheme="minorEastAsia" w:hAnsi="Times New Roman"/>
          <w:noProof/>
          <w:sz w:val="24"/>
          <w:szCs w:val="24"/>
          <w:lang w:val="en-IE" w:eastAsia="zh-CN"/>
        </w:rPr>
      </w:pPr>
      <w:r w:rsidRPr="00BD00A9">
        <w:rPr>
          <w:rFonts w:ascii="Times New Roman" w:eastAsiaTheme="minorEastAsia" w:hAnsi="Times New Roman"/>
          <w:noProof/>
          <w:sz w:val="24"/>
          <w:szCs w:val="24"/>
          <w:lang w:val="en-IE" w:eastAsia="zh-CN"/>
        </w:rPr>
        <w:t xml:space="preserve">During the period covered by this </w:t>
      </w:r>
      <w:r w:rsidR="009F09BB" w:rsidRPr="00BD00A9">
        <w:rPr>
          <w:rFonts w:ascii="Times New Roman" w:eastAsiaTheme="minorEastAsia" w:hAnsi="Times New Roman"/>
          <w:noProof/>
          <w:sz w:val="24"/>
          <w:szCs w:val="24"/>
          <w:lang w:val="en-IE" w:eastAsia="zh-CN"/>
        </w:rPr>
        <w:t>r</w:t>
      </w:r>
      <w:r w:rsidRPr="00BD00A9">
        <w:rPr>
          <w:rFonts w:ascii="Times New Roman" w:eastAsiaTheme="minorEastAsia" w:hAnsi="Times New Roman"/>
          <w:noProof/>
          <w:sz w:val="24"/>
          <w:szCs w:val="24"/>
          <w:lang w:val="en-IE" w:eastAsia="zh-CN"/>
        </w:rPr>
        <w:t xml:space="preserve">eport, the Court issued </w:t>
      </w:r>
      <w:r w:rsidR="009F09BB" w:rsidRPr="00BD00A9">
        <w:rPr>
          <w:rFonts w:ascii="Times New Roman" w:eastAsiaTheme="minorEastAsia" w:hAnsi="Times New Roman"/>
          <w:noProof/>
          <w:sz w:val="24"/>
          <w:szCs w:val="24"/>
          <w:lang w:val="en-IE" w:eastAsia="zh-CN"/>
        </w:rPr>
        <w:t>three</w:t>
      </w:r>
      <w:r w:rsidRPr="00BD00A9">
        <w:rPr>
          <w:rFonts w:ascii="Times New Roman" w:eastAsiaTheme="minorEastAsia" w:hAnsi="Times New Roman"/>
          <w:noProof/>
          <w:sz w:val="24"/>
          <w:szCs w:val="24"/>
          <w:lang w:val="en-IE" w:eastAsia="zh-CN"/>
        </w:rPr>
        <w:t xml:space="preserve"> key judgements relating to non-discrimination of EU citizens on grounds of nationality.</w:t>
      </w:r>
      <w:r w:rsidR="00743A1F" w:rsidRPr="00BD00A9">
        <w:rPr>
          <w:rFonts w:ascii="Times New Roman" w:eastAsiaTheme="minorEastAsia" w:hAnsi="Times New Roman"/>
          <w:noProof/>
          <w:sz w:val="24"/>
          <w:szCs w:val="24"/>
          <w:lang w:val="en-IE" w:eastAsia="zh-CN"/>
        </w:rPr>
        <w:t xml:space="preserve"> </w:t>
      </w:r>
    </w:p>
    <w:p w14:paraId="41151FAB" w14:textId="5C326487" w:rsidR="008F7755" w:rsidRPr="00BD00A9" w:rsidRDefault="00776777" w:rsidP="00776777">
      <w:pPr>
        <w:spacing w:after="240" w:line="276" w:lineRule="auto"/>
        <w:jc w:val="both"/>
        <w:rPr>
          <w:rFonts w:ascii="Times New Roman" w:eastAsiaTheme="minorEastAsia" w:hAnsi="Times New Roman"/>
          <w:noProof/>
          <w:sz w:val="24"/>
          <w:szCs w:val="24"/>
          <w:lang w:val="en-IE" w:eastAsia="zh-CN"/>
        </w:rPr>
      </w:pPr>
      <w:r w:rsidRPr="00BD00A9">
        <w:rPr>
          <w:rFonts w:ascii="Times New Roman" w:eastAsiaTheme="minorEastAsia" w:hAnsi="Times New Roman"/>
          <w:b/>
          <w:bCs/>
          <w:i/>
          <w:noProof/>
          <w:sz w:val="24"/>
          <w:szCs w:val="24"/>
          <w:lang w:val="en-IE" w:eastAsia="zh-CN"/>
        </w:rPr>
        <w:t>Generalstaatsanwaltschaft München v S.M</w:t>
      </w:r>
      <w:r w:rsidRPr="00BD00A9">
        <w:rPr>
          <w:rFonts w:ascii="Times New Roman" w:eastAsiaTheme="minorEastAsia" w:hAnsi="Times New Roman"/>
          <w:b/>
          <w:bCs/>
          <w:i/>
          <w:noProof/>
          <w:sz w:val="24"/>
          <w:szCs w:val="24"/>
          <w:vertAlign w:val="superscript"/>
          <w:lang w:val="en-GB" w:eastAsia="zh-CN"/>
        </w:rPr>
        <w:footnoteReference w:id="39"/>
      </w:r>
      <w:r w:rsidRPr="00BD00A9">
        <w:rPr>
          <w:rFonts w:ascii="Times New Roman" w:eastAsiaTheme="minorEastAsia" w:hAnsi="Times New Roman"/>
          <w:b/>
          <w:bCs/>
          <w:i/>
          <w:iCs/>
          <w:noProof/>
          <w:sz w:val="24"/>
          <w:szCs w:val="24"/>
          <w:lang w:val="en-IE" w:eastAsia="zh-CN"/>
        </w:rPr>
        <w:t xml:space="preserve"> </w:t>
      </w:r>
      <w:r w:rsidRPr="00BD00A9">
        <w:rPr>
          <w:rFonts w:ascii="Times New Roman" w:eastAsiaTheme="minorEastAsia" w:hAnsi="Times New Roman"/>
          <w:noProof/>
          <w:sz w:val="24"/>
          <w:szCs w:val="24"/>
          <w:lang w:val="en-IE" w:eastAsia="zh-CN"/>
        </w:rPr>
        <w:t xml:space="preserve">and </w:t>
      </w:r>
      <w:r w:rsidRPr="00BD00A9">
        <w:rPr>
          <w:rFonts w:ascii="Times New Roman" w:eastAsiaTheme="minorEastAsia" w:hAnsi="Times New Roman"/>
          <w:b/>
          <w:bCs/>
          <w:i/>
          <w:iCs/>
          <w:noProof/>
          <w:sz w:val="24"/>
          <w:szCs w:val="24"/>
          <w:lang w:val="en-IE" w:eastAsia="zh-CN"/>
        </w:rPr>
        <w:t>Generalstaatsanwaltschaft Berlin v</w:t>
      </w:r>
      <w:r w:rsidRPr="00BD00A9">
        <w:rPr>
          <w:rFonts w:ascii="Times New Roman" w:eastAsiaTheme="minorEastAsia" w:hAnsi="Times New Roman"/>
          <w:b/>
          <w:bCs/>
          <w:i/>
          <w:noProof/>
          <w:sz w:val="24"/>
          <w:szCs w:val="24"/>
          <w:lang w:val="en-IE" w:eastAsia="zh-CN"/>
        </w:rPr>
        <w:t xml:space="preserve"> BY</w:t>
      </w:r>
      <w:r w:rsidRPr="00BD00A9">
        <w:rPr>
          <w:rFonts w:ascii="Times New Roman" w:eastAsiaTheme="minorEastAsia" w:hAnsi="Times New Roman"/>
          <w:i/>
          <w:noProof/>
          <w:sz w:val="24"/>
          <w:szCs w:val="24"/>
          <w:vertAlign w:val="superscript"/>
          <w:lang w:val="en-GB" w:eastAsia="zh-CN"/>
        </w:rPr>
        <w:footnoteReference w:id="40"/>
      </w:r>
      <w:r w:rsidR="00743A1F" w:rsidRPr="00BD00A9">
        <w:rPr>
          <w:rFonts w:ascii="Times New Roman" w:eastAsiaTheme="minorEastAsia" w:hAnsi="Times New Roman"/>
          <w:noProof/>
          <w:sz w:val="24"/>
          <w:szCs w:val="24"/>
          <w:lang w:val="en-IE" w:eastAsia="zh-CN"/>
        </w:rPr>
        <w:t xml:space="preserve"> </w:t>
      </w:r>
      <w:r w:rsidR="00C12632" w:rsidRPr="00BD00A9">
        <w:rPr>
          <w:rFonts w:ascii="Times New Roman" w:eastAsiaTheme="minorEastAsia" w:hAnsi="Times New Roman"/>
          <w:noProof/>
          <w:sz w:val="24"/>
          <w:szCs w:val="24"/>
          <w:lang w:val="en-IE" w:eastAsia="zh-CN"/>
        </w:rPr>
        <w:t>concerned</w:t>
      </w:r>
      <w:r w:rsidR="00743A1F" w:rsidRPr="00BD00A9">
        <w:rPr>
          <w:rFonts w:ascii="Times New Roman" w:eastAsiaTheme="minorEastAsia" w:hAnsi="Times New Roman"/>
          <w:noProof/>
          <w:sz w:val="24"/>
          <w:szCs w:val="24"/>
          <w:lang w:val="en-IE" w:eastAsia="zh-CN"/>
        </w:rPr>
        <w:t xml:space="preserve"> </w:t>
      </w:r>
      <w:r w:rsidR="004C2395" w:rsidRPr="00BD00A9">
        <w:rPr>
          <w:rFonts w:ascii="Times New Roman" w:eastAsiaTheme="minorEastAsia" w:hAnsi="Times New Roman"/>
          <w:noProof/>
          <w:sz w:val="24"/>
          <w:szCs w:val="24"/>
          <w:lang w:val="en-IE" w:eastAsia="zh-CN"/>
        </w:rPr>
        <w:t xml:space="preserve">the interaction between national rules precluding the extradition of the host Member State’s own nationals and the EU principle of non-discrimination on grounds of nationality. </w:t>
      </w:r>
      <w:bookmarkStart w:id="32" w:name="_Hlk147306005"/>
      <w:r w:rsidR="00B13490" w:rsidRPr="00BD00A9">
        <w:rPr>
          <w:rFonts w:ascii="Times New Roman" w:eastAsiaTheme="minorEastAsia" w:hAnsi="Times New Roman"/>
          <w:noProof/>
          <w:sz w:val="24"/>
          <w:szCs w:val="24"/>
          <w:lang w:val="en-IE" w:eastAsia="zh-CN"/>
        </w:rPr>
        <w:t xml:space="preserve">The cases concerned extradition requests filed by non-EU countries, in the first case for the purpose of enforcing a custodial sentence, and in the second for the purposes of criminal prosecution. </w:t>
      </w:r>
      <w:bookmarkEnd w:id="32"/>
      <w:r w:rsidR="004C2395" w:rsidRPr="00BD00A9">
        <w:rPr>
          <w:rFonts w:ascii="Times New Roman" w:eastAsiaTheme="minorEastAsia" w:hAnsi="Times New Roman"/>
          <w:noProof/>
          <w:sz w:val="24"/>
          <w:szCs w:val="24"/>
          <w:lang w:val="en-IE" w:eastAsia="zh-CN"/>
        </w:rPr>
        <w:t xml:space="preserve">The Court concluded that, where national rules on extradition introduce a difference in treatment between nationals and other EU </w:t>
      </w:r>
      <w:r w:rsidR="00304774" w:rsidRPr="00BD00A9">
        <w:rPr>
          <w:rFonts w:ascii="Times New Roman" w:eastAsiaTheme="minorEastAsia" w:hAnsi="Times New Roman"/>
          <w:noProof/>
          <w:sz w:val="24"/>
          <w:szCs w:val="24"/>
          <w:lang w:val="en-IE" w:eastAsia="zh-CN"/>
        </w:rPr>
        <w:t xml:space="preserve">citizens </w:t>
      </w:r>
      <w:r w:rsidR="004C2395" w:rsidRPr="00BD00A9">
        <w:rPr>
          <w:rFonts w:ascii="Times New Roman" w:eastAsiaTheme="minorEastAsia" w:hAnsi="Times New Roman"/>
          <w:noProof/>
          <w:sz w:val="24"/>
          <w:szCs w:val="24"/>
          <w:lang w:val="en-IE" w:eastAsia="zh-CN"/>
        </w:rPr>
        <w:t>resident</w:t>
      </w:r>
      <w:r w:rsidR="00304774" w:rsidRPr="00BD00A9">
        <w:rPr>
          <w:rFonts w:ascii="Times New Roman" w:eastAsiaTheme="minorEastAsia" w:hAnsi="Times New Roman"/>
          <w:noProof/>
          <w:sz w:val="24"/>
          <w:szCs w:val="24"/>
          <w:lang w:val="en-IE" w:eastAsia="zh-CN"/>
        </w:rPr>
        <w:t xml:space="preserve"> in that Member State</w:t>
      </w:r>
      <w:r w:rsidR="004C2395" w:rsidRPr="00BD00A9">
        <w:rPr>
          <w:rFonts w:ascii="Times New Roman" w:eastAsiaTheme="minorEastAsia" w:hAnsi="Times New Roman"/>
          <w:noProof/>
          <w:sz w:val="24"/>
          <w:szCs w:val="24"/>
          <w:lang w:val="en-IE" w:eastAsia="zh-CN"/>
        </w:rPr>
        <w:t xml:space="preserve">, the concerned Member State </w:t>
      </w:r>
      <w:r w:rsidR="009F09BB" w:rsidRPr="00BD00A9">
        <w:rPr>
          <w:rFonts w:ascii="Times New Roman" w:eastAsiaTheme="minorEastAsia" w:hAnsi="Times New Roman"/>
          <w:noProof/>
          <w:sz w:val="24"/>
          <w:szCs w:val="24"/>
          <w:lang w:val="en-IE" w:eastAsia="zh-CN"/>
        </w:rPr>
        <w:t>must</w:t>
      </w:r>
      <w:r w:rsidR="004C2395" w:rsidRPr="00BD00A9">
        <w:rPr>
          <w:rFonts w:ascii="Times New Roman" w:eastAsiaTheme="minorEastAsia" w:hAnsi="Times New Roman"/>
          <w:noProof/>
          <w:sz w:val="24"/>
          <w:szCs w:val="24"/>
          <w:lang w:val="en-IE" w:eastAsia="zh-CN"/>
        </w:rPr>
        <w:t xml:space="preserve"> assess whether there is an alternative measure to extradition that is less prejudicial to the exercise of free movement </w:t>
      </w:r>
      <w:r w:rsidR="009F09BB" w:rsidRPr="00BD00A9">
        <w:rPr>
          <w:rFonts w:ascii="Times New Roman" w:eastAsiaTheme="minorEastAsia" w:hAnsi="Times New Roman"/>
          <w:noProof/>
          <w:sz w:val="24"/>
          <w:szCs w:val="24"/>
          <w:lang w:val="en-IE" w:eastAsia="zh-CN"/>
        </w:rPr>
        <w:t>by</w:t>
      </w:r>
      <w:r w:rsidR="004C2395" w:rsidRPr="00BD00A9">
        <w:rPr>
          <w:rFonts w:ascii="Times New Roman" w:eastAsiaTheme="minorEastAsia" w:hAnsi="Times New Roman"/>
          <w:noProof/>
          <w:sz w:val="24"/>
          <w:szCs w:val="24"/>
          <w:lang w:val="en-IE" w:eastAsia="zh-CN"/>
        </w:rPr>
        <w:t xml:space="preserve"> the EU </w:t>
      </w:r>
      <w:r w:rsidR="00304774" w:rsidRPr="00BD00A9">
        <w:rPr>
          <w:rFonts w:ascii="Times New Roman" w:eastAsiaTheme="minorEastAsia" w:hAnsi="Times New Roman"/>
          <w:noProof/>
          <w:sz w:val="24"/>
          <w:szCs w:val="24"/>
          <w:lang w:val="en-IE" w:eastAsia="zh-CN"/>
        </w:rPr>
        <w:t>citizen</w:t>
      </w:r>
      <w:r w:rsidR="004C2395" w:rsidRPr="00BD00A9">
        <w:rPr>
          <w:rFonts w:ascii="Times New Roman" w:eastAsiaTheme="minorEastAsia" w:hAnsi="Times New Roman"/>
          <w:noProof/>
          <w:sz w:val="24"/>
          <w:szCs w:val="24"/>
          <w:lang w:val="en-IE" w:eastAsia="zh-CN"/>
        </w:rPr>
        <w:t xml:space="preserve">. </w:t>
      </w:r>
    </w:p>
    <w:p w14:paraId="7DC2BBC1" w14:textId="3448FDF0" w:rsidR="008F7755" w:rsidRPr="00BD00A9" w:rsidRDefault="00776777" w:rsidP="00776777">
      <w:pPr>
        <w:spacing w:after="240" w:line="276" w:lineRule="auto"/>
        <w:jc w:val="both"/>
        <w:rPr>
          <w:rFonts w:ascii="Times New Roman" w:eastAsiaTheme="minorEastAsia" w:hAnsi="Times New Roman"/>
          <w:noProof/>
          <w:sz w:val="24"/>
          <w:szCs w:val="24"/>
          <w:lang w:val="en-IE" w:eastAsia="zh-CN"/>
        </w:rPr>
      </w:pPr>
      <w:r w:rsidRPr="00BD00A9">
        <w:rPr>
          <w:rFonts w:ascii="Times New Roman" w:eastAsiaTheme="minorEastAsia" w:hAnsi="Times New Roman"/>
          <w:b/>
          <w:i/>
          <w:noProof/>
          <w:sz w:val="24"/>
          <w:szCs w:val="24"/>
          <w:lang w:val="en-GB" w:eastAsia="zh-CN"/>
        </w:rPr>
        <w:t>OE v VY</w:t>
      </w:r>
      <w:r w:rsidRPr="00BD00A9">
        <w:rPr>
          <w:rFonts w:ascii="Times New Roman" w:eastAsiaTheme="minorEastAsia" w:hAnsi="Times New Roman"/>
          <w:noProof/>
          <w:sz w:val="24"/>
          <w:szCs w:val="24"/>
          <w:vertAlign w:val="superscript"/>
          <w:lang w:val="en-GB" w:eastAsia="zh-CN"/>
        </w:rPr>
        <w:footnoteReference w:id="41"/>
      </w:r>
      <w:r w:rsidRPr="00BD00A9">
        <w:rPr>
          <w:rFonts w:ascii="Times New Roman" w:eastAsiaTheme="minorEastAsia" w:hAnsi="Times New Roman"/>
          <w:noProof/>
          <w:sz w:val="24"/>
          <w:szCs w:val="24"/>
          <w:lang w:val="en-GB" w:eastAsia="zh-CN"/>
        </w:rPr>
        <w:t xml:space="preserve"> concerned</w:t>
      </w:r>
      <w:r w:rsidRPr="00BD00A9">
        <w:rPr>
          <w:rFonts w:ascii="Times New Roman" w:eastAsiaTheme="minorEastAsia" w:hAnsi="Times New Roman"/>
          <w:noProof/>
          <w:sz w:val="24"/>
          <w:szCs w:val="24"/>
          <w:lang w:val="en-IE" w:eastAsia="zh-CN"/>
        </w:rPr>
        <w:t xml:space="preserve"> </w:t>
      </w:r>
      <w:r w:rsidR="00743A1F" w:rsidRPr="00BD00A9">
        <w:rPr>
          <w:rFonts w:ascii="Times New Roman" w:eastAsiaTheme="minorEastAsia" w:hAnsi="Times New Roman"/>
          <w:noProof/>
          <w:sz w:val="24"/>
          <w:szCs w:val="24"/>
          <w:lang w:val="en-IE" w:eastAsia="zh-CN"/>
        </w:rPr>
        <w:t xml:space="preserve">the residency requirements a Member State may adopt in order for its courts to </w:t>
      </w:r>
      <w:r w:rsidR="004C374D" w:rsidRPr="00BD00A9">
        <w:rPr>
          <w:rFonts w:ascii="Times New Roman" w:eastAsiaTheme="minorEastAsia" w:hAnsi="Times New Roman"/>
          <w:noProof/>
          <w:sz w:val="24"/>
          <w:szCs w:val="24"/>
          <w:lang w:val="en-IE" w:eastAsia="zh-CN"/>
        </w:rPr>
        <w:t>have</w:t>
      </w:r>
      <w:r w:rsidR="00743A1F" w:rsidRPr="00BD00A9">
        <w:rPr>
          <w:rFonts w:ascii="Times New Roman" w:eastAsiaTheme="minorEastAsia" w:hAnsi="Times New Roman"/>
          <w:noProof/>
          <w:sz w:val="24"/>
          <w:szCs w:val="24"/>
          <w:lang w:val="en-IE" w:eastAsia="zh-CN"/>
        </w:rPr>
        <w:t xml:space="preserve"> jurisdiction in matrimonial matters and matters of parental responsibility, and whether th</w:t>
      </w:r>
      <w:r w:rsidR="009F09BB" w:rsidRPr="00BD00A9">
        <w:rPr>
          <w:rFonts w:ascii="Times New Roman" w:eastAsiaTheme="minorEastAsia" w:hAnsi="Times New Roman"/>
          <w:noProof/>
          <w:sz w:val="24"/>
          <w:szCs w:val="24"/>
          <w:lang w:val="en-IE" w:eastAsia="zh-CN"/>
        </w:rPr>
        <w:t>e</w:t>
      </w:r>
      <w:r w:rsidR="00743A1F" w:rsidRPr="00BD00A9">
        <w:rPr>
          <w:rFonts w:ascii="Times New Roman" w:eastAsiaTheme="minorEastAsia" w:hAnsi="Times New Roman"/>
          <w:noProof/>
          <w:sz w:val="24"/>
          <w:szCs w:val="24"/>
          <w:lang w:val="en-IE" w:eastAsia="zh-CN"/>
        </w:rPr>
        <w:t xml:space="preserve">se may differ from the </w:t>
      </w:r>
      <w:r w:rsidR="009F09BB" w:rsidRPr="00BD00A9">
        <w:rPr>
          <w:rFonts w:ascii="Times New Roman" w:eastAsiaTheme="minorEastAsia" w:hAnsi="Times New Roman"/>
          <w:noProof/>
          <w:sz w:val="24"/>
          <w:szCs w:val="24"/>
          <w:lang w:val="en-IE" w:eastAsia="zh-CN"/>
        </w:rPr>
        <w:t xml:space="preserve">requirements </w:t>
      </w:r>
      <w:r w:rsidR="00743A1F" w:rsidRPr="00BD00A9">
        <w:rPr>
          <w:rFonts w:ascii="Times New Roman" w:eastAsiaTheme="minorEastAsia" w:hAnsi="Times New Roman"/>
          <w:noProof/>
          <w:sz w:val="24"/>
          <w:szCs w:val="24"/>
          <w:lang w:val="en-IE" w:eastAsia="zh-CN"/>
        </w:rPr>
        <w:t>applicable to its own nationals.</w:t>
      </w:r>
      <w:r w:rsidRPr="00BD00A9">
        <w:rPr>
          <w:rFonts w:ascii="Times New Roman" w:eastAsiaTheme="minorEastAsia" w:hAnsi="Times New Roman"/>
          <w:noProof/>
          <w:sz w:val="24"/>
          <w:szCs w:val="24"/>
          <w:lang w:val="en-IE" w:eastAsia="zh-CN"/>
        </w:rPr>
        <w:t xml:space="preserve"> </w:t>
      </w:r>
      <w:r w:rsidR="00304774" w:rsidRPr="00BD00A9">
        <w:rPr>
          <w:rFonts w:ascii="Times New Roman" w:eastAsiaTheme="minorEastAsia" w:hAnsi="Times New Roman"/>
          <w:noProof/>
          <w:sz w:val="24"/>
          <w:szCs w:val="24"/>
          <w:lang w:val="en-IE" w:eastAsia="zh-CN"/>
        </w:rPr>
        <w:t xml:space="preserve">The Court concluded that differentiated </w:t>
      </w:r>
      <w:r w:rsidR="00B13490" w:rsidRPr="00BD00A9">
        <w:rPr>
          <w:rFonts w:ascii="Times New Roman" w:eastAsiaTheme="minorEastAsia" w:hAnsi="Times New Roman"/>
          <w:noProof/>
          <w:sz w:val="24"/>
          <w:szCs w:val="24"/>
          <w:lang w:val="en-IE" w:eastAsia="zh-CN"/>
        </w:rPr>
        <w:t xml:space="preserve">minimum periods of residence, depending on whether or not the applicant is a national of that Member State, </w:t>
      </w:r>
      <w:r w:rsidR="00304774" w:rsidRPr="00BD00A9">
        <w:rPr>
          <w:rFonts w:ascii="Times New Roman" w:eastAsiaTheme="minorEastAsia" w:hAnsi="Times New Roman"/>
          <w:noProof/>
          <w:sz w:val="24"/>
          <w:szCs w:val="24"/>
          <w:lang w:val="en-IE" w:eastAsia="zh-CN"/>
        </w:rPr>
        <w:t>are justifiable in view of the need to establish a real link with the Member State.</w:t>
      </w:r>
      <w:r w:rsidR="007251AE" w:rsidRPr="00BD00A9">
        <w:rPr>
          <w:rFonts w:ascii="Times New Roman" w:eastAsiaTheme="minorEastAsia" w:hAnsi="Times New Roman"/>
          <w:noProof/>
          <w:sz w:val="24"/>
          <w:szCs w:val="24"/>
          <w:lang w:val="en-IE" w:eastAsia="zh-CN"/>
        </w:rPr>
        <w:t xml:space="preserve"> </w:t>
      </w:r>
    </w:p>
    <w:p w14:paraId="30C4C0EC" w14:textId="14D2C057" w:rsidR="00984A0D" w:rsidRPr="00BD00A9" w:rsidRDefault="00776777" w:rsidP="00776777">
      <w:pPr>
        <w:spacing w:after="240" w:line="276" w:lineRule="auto"/>
        <w:jc w:val="both"/>
        <w:rPr>
          <w:rFonts w:ascii="Times New Roman" w:eastAsiaTheme="minorEastAsia" w:hAnsi="Times New Roman"/>
          <w:noProof/>
          <w:sz w:val="24"/>
          <w:szCs w:val="24"/>
          <w:lang w:val="en-IE" w:eastAsia="zh-CN"/>
        </w:rPr>
      </w:pPr>
      <w:r w:rsidRPr="00BD00A9">
        <w:rPr>
          <w:rFonts w:ascii="Times New Roman" w:eastAsiaTheme="minorEastAsia" w:hAnsi="Times New Roman"/>
          <w:noProof/>
          <w:sz w:val="24"/>
          <w:szCs w:val="24"/>
          <w:lang w:val="en-IE" w:eastAsia="zh-CN"/>
        </w:rPr>
        <w:t xml:space="preserve">These cases are explained in more detail </w:t>
      </w:r>
      <w:r w:rsidR="00C12632" w:rsidRPr="00BD00A9">
        <w:rPr>
          <w:rFonts w:ascii="Times New Roman" w:eastAsiaTheme="minorEastAsia" w:hAnsi="Times New Roman"/>
          <w:noProof/>
          <w:sz w:val="24"/>
          <w:szCs w:val="24"/>
          <w:lang w:val="en-IE" w:eastAsia="zh-CN"/>
        </w:rPr>
        <w:t>in</w:t>
      </w:r>
      <w:r w:rsidRPr="00BD00A9">
        <w:rPr>
          <w:rFonts w:ascii="Times New Roman" w:eastAsiaTheme="minorEastAsia" w:hAnsi="Times New Roman"/>
          <w:noProof/>
          <w:sz w:val="24"/>
          <w:szCs w:val="24"/>
          <w:lang w:val="en-IE" w:eastAsia="zh-CN"/>
        </w:rPr>
        <w:t xml:space="preserve"> Annex II.</w:t>
      </w:r>
      <w:r w:rsidR="00743A1F" w:rsidRPr="00BD00A9">
        <w:rPr>
          <w:noProof/>
        </w:rPr>
        <w:t xml:space="preserve"> </w:t>
      </w:r>
    </w:p>
    <w:p w14:paraId="0A64F50B" w14:textId="75AA3B9D" w:rsidR="00534D5C" w:rsidRPr="00BD00A9" w:rsidRDefault="00D855E4" w:rsidP="00D855E4">
      <w:pPr>
        <w:pStyle w:val="Heading1"/>
      </w:pPr>
      <w:bookmarkStart w:id="33" w:name="_Toc150854709"/>
      <w:bookmarkStart w:id="34" w:name="_Toc152502490"/>
      <w:r w:rsidRPr="00BD00A9">
        <w:t>Combating discrimination on the basis of sex, racial or ethnic origin, religion or belief, disability, age or sexual orientation (Article 19 TFEU)</w:t>
      </w:r>
      <w:bookmarkEnd w:id="33"/>
      <w:bookmarkEnd w:id="34"/>
    </w:p>
    <w:p w14:paraId="25524F79" w14:textId="510C1FE7" w:rsidR="00D855E4" w:rsidRPr="00BD00A9" w:rsidRDefault="00DD25C9" w:rsidP="00D855E4">
      <w:pPr>
        <w:pStyle w:val="Heading2"/>
      </w:pPr>
      <w:bookmarkStart w:id="35" w:name="_Toc150854710"/>
      <w:bookmarkStart w:id="36" w:name="_Toc152502491"/>
      <w:r w:rsidRPr="00BD00A9">
        <w:t>Introduction and p</w:t>
      </w:r>
      <w:r w:rsidR="00D855E4" w:rsidRPr="00BD00A9">
        <w:t>olicy developments</w:t>
      </w:r>
      <w:bookmarkEnd w:id="35"/>
      <w:bookmarkEnd w:id="36"/>
    </w:p>
    <w:p w14:paraId="3AC8ABCE" w14:textId="36AF6A7B" w:rsidR="00D855E4" w:rsidRPr="00BD00A9" w:rsidRDefault="00BF5EA2" w:rsidP="00D855E4">
      <w:pPr>
        <w:spacing w:after="240" w:line="276" w:lineRule="auto"/>
        <w:jc w:val="both"/>
        <w:rPr>
          <w:rFonts w:ascii="Times New Roman" w:eastAsiaTheme="minorEastAsia" w:hAnsi="Times New Roman"/>
          <w:noProof/>
          <w:sz w:val="24"/>
          <w:szCs w:val="24"/>
          <w:lang w:val="en-IE" w:eastAsia="zh-CN"/>
        </w:rPr>
      </w:pPr>
      <w:r w:rsidRPr="00BD00A9">
        <w:rPr>
          <w:rFonts w:ascii="Times New Roman" w:eastAsiaTheme="minorEastAsia" w:hAnsi="Times New Roman"/>
          <w:noProof/>
          <w:sz w:val="24"/>
          <w:szCs w:val="24"/>
          <w:lang w:val="en-IE" w:eastAsia="zh-CN"/>
        </w:rPr>
        <w:t>Article 19 TFEU stipulates that the EU may take appropriate action to combat discrimination based on sex, racial or ethnic origin, religion or belief, disability, age or sexual orientation</w:t>
      </w:r>
      <w:r w:rsidRPr="00BD00A9">
        <w:rPr>
          <w:rStyle w:val="FootnoteReference"/>
          <w:rFonts w:ascii="Times New Roman" w:eastAsiaTheme="minorEastAsia" w:hAnsi="Times New Roman"/>
          <w:noProof/>
          <w:sz w:val="24"/>
          <w:szCs w:val="24"/>
          <w:lang w:val="en-IE" w:eastAsia="zh-CN"/>
        </w:rPr>
        <w:footnoteReference w:id="42"/>
      </w:r>
      <w:r w:rsidRPr="00BD00A9">
        <w:rPr>
          <w:rFonts w:ascii="Times New Roman" w:eastAsiaTheme="minorEastAsia" w:hAnsi="Times New Roman"/>
          <w:noProof/>
          <w:sz w:val="24"/>
          <w:szCs w:val="24"/>
          <w:lang w:val="en-IE" w:eastAsia="zh-CN"/>
        </w:rPr>
        <w:t xml:space="preserve">. </w:t>
      </w:r>
    </w:p>
    <w:p w14:paraId="0294C116" w14:textId="6F42B53B" w:rsidR="0042155B" w:rsidRPr="00BD00A9" w:rsidRDefault="0042155B" w:rsidP="00D855E4">
      <w:pPr>
        <w:spacing w:after="240" w:line="276" w:lineRule="auto"/>
        <w:jc w:val="both"/>
        <w:rPr>
          <w:rFonts w:ascii="Times New Roman" w:eastAsiaTheme="minorEastAsia" w:hAnsi="Times New Roman"/>
          <w:noProof/>
          <w:sz w:val="24"/>
          <w:szCs w:val="24"/>
          <w:lang w:val="en-IE" w:eastAsia="zh-CN"/>
        </w:rPr>
      </w:pPr>
      <w:r w:rsidRPr="00BD00A9">
        <w:rPr>
          <w:rFonts w:ascii="Times New Roman" w:eastAsiaTheme="minorEastAsia" w:hAnsi="Times New Roman"/>
          <w:noProof/>
          <w:sz w:val="24"/>
          <w:szCs w:val="24"/>
          <w:lang w:val="en-IE" w:eastAsia="zh-CN"/>
        </w:rPr>
        <w:t xml:space="preserve">Since 2020, the Commission has proposed </w:t>
      </w:r>
      <w:r w:rsidR="009F09BB" w:rsidRPr="00BD00A9">
        <w:rPr>
          <w:rFonts w:ascii="Times New Roman" w:eastAsiaTheme="minorEastAsia" w:hAnsi="Times New Roman"/>
          <w:noProof/>
          <w:sz w:val="24"/>
          <w:szCs w:val="24"/>
          <w:lang w:val="en-IE" w:eastAsia="zh-CN"/>
        </w:rPr>
        <w:t>various</w:t>
      </w:r>
      <w:r w:rsidRPr="00BD00A9">
        <w:rPr>
          <w:rFonts w:ascii="Times New Roman" w:eastAsiaTheme="minorEastAsia" w:hAnsi="Times New Roman"/>
          <w:noProof/>
          <w:sz w:val="24"/>
          <w:szCs w:val="24"/>
          <w:lang w:val="en-IE" w:eastAsia="zh-CN"/>
        </w:rPr>
        <w:t xml:space="preserve"> new equality and anti-discrimination measures. </w:t>
      </w:r>
    </w:p>
    <w:p w14:paraId="0F50463C" w14:textId="69C9CB0A" w:rsidR="1A9C56C3" w:rsidRPr="00BD00A9" w:rsidRDefault="47AA8C63" w:rsidP="1A9C56C3">
      <w:pPr>
        <w:spacing w:after="240" w:line="276" w:lineRule="auto"/>
        <w:jc w:val="both"/>
        <w:rPr>
          <w:rFonts w:ascii="Times New Roman" w:eastAsiaTheme="minorEastAsia" w:hAnsi="Times New Roman"/>
          <w:noProof/>
          <w:sz w:val="24"/>
          <w:szCs w:val="24"/>
          <w:lang w:val="en-IE" w:eastAsia="zh-CN"/>
        </w:rPr>
      </w:pPr>
      <w:r w:rsidRPr="00BD00A9">
        <w:rPr>
          <w:rFonts w:ascii="Times New Roman" w:eastAsiaTheme="minorEastAsia" w:hAnsi="Times New Roman"/>
          <w:noProof/>
          <w:sz w:val="24"/>
          <w:szCs w:val="24"/>
          <w:lang w:val="en-IE" w:eastAsia="zh-CN"/>
        </w:rPr>
        <w:t xml:space="preserve">The Commission </w:t>
      </w:r>
      <w:r w:rsidR="1F788062" w:rsidRPr="00BD00A9">
        <w:rPr>
          <w:rFonts w:ascii="Times New Roman" w:eastAsiaTheme="minorEastAsia" w:hAnsi="Times New Roman"/>
          <w:noProof/>
          <w:sz w:val="24"/>
          <w:szCs w:val="24"/>
          <w:lang w:val="en-IE" w:eastAsia="zh-CN"/>
        </w:rPr>
        <w:t>delivered on several of the key</w:t>
      </w:r>
      <w:r w:rsidRPr="00BD00A9">
        <w:rPr>
          <w:rFonts w:ascii="Times New Roman" w:eastAsiaTheme="minorEastAsia" w:hAnsi="Times New Roman"/>
          <w:noProof/>
          <w:sz w:val="24"/>
          <w:szCs w:val="24"/>
          <w:lang w:val="en-IE" w:eastAsia="zh-CN"/>
        </w:rPr>
        <w:t xml:space="preserve"> </w:t>
      </w:r>
      <w:r w:rsidR="49D618D6" w:rsidRPr="00BD00A9">
        <w:rPr>
          <w:rFonts w:ascii="Times New Roman" w:eastAsiaTheme="minorEastAsia" w:hAnsi="Times New Roman"/>
          <w:noProof/>
          <w:sz w:val="24"/>
          <w:szCs w:val="24"/>
          <w:lang w:val="en-IE" w:eastAsia="zh-CN"/>
        </w:rPr>
        <w:t>objectives of</w:t>
      </w:r>
      <w:r w:rsidRPr="00BD00A9">
        <w:rPr>
          <w:rFonts w:ascii="Times New Roman" w:eastAsiaTheme="minorEastAsia" w:hAnsi="Times New Roman"/>
          <w:noProof/>
          <w:sz w:val="24"/>
          <w:szCs w:val="24"/>
          <w:lang w:val="en-IE" w:eastAsia="zh-CN"/>
        </w:rPr>
        <w:t xml:space="preserve"> its </w:t>
      </w:r>
      <w:r w:rsidRPr="00BD00A9">
        <w:rPr>
          <w:rFonts w:ascii="Times New Roman" w:eastAsiaTheme="minorEastAsia" w:hAnsi="Times New Roman"/>
          <w:b/>
          <w:bCs/>
          <w:noProof/>
          <w:sz w:val="24"/>
          <w:szCs w:val="24"/>
          <w:lang w:val="en-IE" w:eastAsia="zh-CN"/>
        </w:rPr>
        <w:t>Gender Equality Strategy</w:t>
      </w:r>
      <w:r w:rsidRPr="00BD00A9">
        <w:rPr>
          <w:rFonts w:ascii="Times New Roman" w:eastAsiaTheme="minorEastAsia" w:hAnsi="Times New Roman"/>
          <w:noProof/>
          <w:sz w:val="24"/>
          <w:szCs w:val="24"/>
          <w:lang w:val="en-IE" w:eastAsia="zh-CN"/>
        </w:rPr>
        <w:t xml:space="preserve"> 2020-2025</w:t>
      </w:r>
      <w:r w:rsidR="009857EB" w:rsidRPr="00BD00A9">
        <w:rPr>
          <w:rStyle w:val="FootnoteReference"/>
          <w:rFonts w:ascii="Times New Roman" w:eastAsiaTheme="minorEastAsia" w:hAnsi="Times New Roman"/>
          <w:noProof/>
          <w:sz w:val="24"/>
          <w:szCs w:val="24"/>
          <w:lang w:val="en-IE" w:eastAsia="zh-CN"/>
        </w:rPr>
        <w:footnoteReference w:id="43"/>
      </w:r>
      <w:r w:rsidRPr="00BD00A9">
        <w:rPr>
          <w:rFonts w:ascii="Times New Roman" w:eastAsiaTheme="minorEastAsia" w:hAnsi="Times New Roman"/>
          <w:noProof/>
          <w:sz w:val="24"/>
          <w:szCs w:val="24"/>
          <w:lang w:val="en-IE" w:eastAsia="zh-CN"/>
        </w:rPr>
        <w:t xml:space="preserve">, which sets out </w:t>
      </w:r>
      <w:r w:rsidR="4F59D0C5" w:rsidRPr="00BD00A9">
        <w:rPr>
          <w:rFonts w:ascii="Times New Roman" w:eastAsiaTheme="minorEastAsia" w:hAnsi="Times New Roman"/>
          <w:noProof/>
          <w:sz w:val="24"/>
          <w:szCs w:val="24"/>
          <w:lang w:val="en-IE" w:eastAsia="zh-CN"/>
        </w:rPr>
        <w:t>policy objectives and</w:t>
      </w:r>
      <w:r w:rsidRPr="00BD00A9">
        <w:rPr>
          <w:rFonts w:ascii="Times New Roman" w:eastAsiaTheme="minorEastAsia" w:hAnsi="Times New Roman"/>
          <w:noProof/>
          <w:sz w:val="24"/>
          <w:szCs w:val="24"/>
          <w:lang w:val="en-IE" w:eastAsia="zh-CN"/>
        </w:rPr>
        <w:t xml:space="preserve"> actions in this area. </w:t>
      </w:r>
      <w:r w:rsidR="682D268E" w:rsidRPr="00BD00A9">
        <w:rPr>
          <w:rFonts w:ascii="Times New Roman" w:eastAsiaTheme="minorEastAsia" w:hAnsi="Times New Roman"/>
          <w:noProof/>
          <w:sz w:val="24"/>
          <w:szCs w:val="24"/>
          <w:lang w:val="en-IE" w:eastAsia="zh-CN"/>
        </w:rPr>
        <w:t xml:space="preserve">The aim of the </w:t>
      </w:r>
      <w:r w:rsidR="009857EB" w:rsidRPr="00BD00A9">
        <w:rPr>
          <w:rFonts w:ascii="Times New Roman" w:eastAsiaTheme="minorEastAsia" w:hAnsi="Times New Roman"/>
          <w:noProof/>
          <w:sz w:val="24"/>
          <w:szCs w:val="24"/>
          <w:lang w:val="en-IE" w:eastAsia="zh-CN"/>
        </w:rPr>
        <w:t>s</w:t>
      </w:r>
      <w:r w:rsidR="1AD4C20D" w:rsidRPr="00BD00A9">
        <w:rPr>
          <w:rFonts w:ascii="Times New Roman" w:eastAsiaTheme="minorEastAsia" w:hAnsi="Times New Roman"/>
          <w:noProof/>
          <w:sz w:val="24"/>
          <w:szCs w:val="24"/>
          <w:lang w:val="en-IE" w:eastAsia="zh-CN"/>
        </w:rPr>
        <w:t>trategy</w:t>
      </w:r>
      <w:r w:rsidR="682D268E" w:rsidRPr="00BD00A9">
        <w:rPr>
          <w:rFonts w:ascii="Times New Roman" w:eastAsiaTheme="minorEastAsia" w:hAnsi="Times New Roman"/>
          <w:noProof/>
          <w:sz w:val="24"/>
          <w:szCs w:val="24"/>
          <w:lang w:val="en-IE" w:eastAsia="zh-CN"/>
        </w:rPr>
        <w:t xml:space="preserve"> is to build</w:t>
      </w:r>
      <w:r w:rsidR="57108D23" w:rsidRPr="00BD00A9">
        <w:rPr>
          <w:rFonts w:ascii="Times New Roman" w:eastAsiaTheme="minorEastAsia" w:hAnsi="Times New Roman"/>
          <w:noProof/>
          <w:sz w:val="24"/>
          <w:szCs w:val="24"/>
          <w:lang w:val="en-IE" w:eastAsia="zh-CN"/>
        </w:rPr>
        <w:t xml:space="preserve"> a Europe where women and men, girls and boys, in all their diversity, are equal, where they can live the life they choose, thrive in a gender equal economy and lead equally throughout our societies. </w:t>
      </w:r>
      <w:r w:rsidR="05F9C6A8" w:rsidRPr="00BD00A9">
        <w:rPr>
          <w:rFonts w:ascii="Times New Roman" w:eastAsiaTheme="minorEastAsia" w:hAnsi="Times New Roman"/>
          <w:noProof/>
          <w:sz w:val="24"/>
          <w:szCs w:val="24"/>
          <w:lang w:val="en-IE" w:eastAsia="zh-CN"/>
        </w:rPr>
        <w:t>In March 2023, the Commission issued its annual report on gender equality</w:t>
      </w:r>
      <w:r w:rsidR="009857EB" w:rsidRPr="00BD00A9">
        <w:rPr>
          <w:rStyle w:val="FootnoteReference"/>
          <w:rFonts w:ascii="Times New Roman" w:eastAsiaTheme="minorEastAsia" w:hAnsi="Times New Roman"/>
          <w:noProof/>
          <w:sz w:val="24"/>
          <w:szCs w:val="24"/>
          <w:lang w:val="en-IE" w:eastAsia="zh-CN"/>
        </w:rPr>
        <w:footnoteReference w:id="44"/>
      </w:r>
      <w:r w:rsidR="05F9C6A8" w:rsidRPr="00BD00A9">
        <w:rPr>
          <w:rFonts w:ascii="Times New Roman" w:eastAsiaTheme="minorEastAsia" w:hAnsi="Times New Roman"/>
          <w:noProof/>
          <w:sz w:val="24"/>
          <w:szCs w:val="24"/>
          <w:lang w:val="en-IE" w:eastAsia="zh-CN"/>
        </w:rPr>
        <w:t>, highlighting the EU</w:t>
      </w:r>
      <w:r w:rsidR="43AA8BB5" w:rsidRPr="00BD00A9">
        <w:rPr>
          <w:rFonts w:ascii="Times New Roman" w:eastAsiaTheme="minorEastAsia" w:hAnsi="Times New Roman"/>
          <w:noProof/>
          <w:sz w:val="24"/>
          <w:szCs w:val="24"/>
          <w:lang w:val="en-IE" w:eastAsia="zh-CN"/>
        </w:rPr>
        <w:t>’</w:t>
      </w:r>
      <w:r w:rsidR="05F9C6A8" w:rsidRPr="00BD00A9">
        <w:rPr>
          <w:rFonts w:ascii="Times New Roman" w:eastAsiaTheme="minorEastAsia" w:hAnsi="Times New Roman"/>
          <w:noProof/>
          <w:sz w:val="24"/>
          <w:szCs w:val="24"/>
          <w:lang w:val="en-IE" w:eastAsia="zh-CN"/>
        </w:rPr>
        <w:t xml:space="preserve">s achievements in the five key areas covered by the strategy. </w:t>
      </w:r>
    </w:p>
    <w:p w14:paraId="17A0467B" w14:textId="5FA31706" w:rsidR="5EC85493" w:rsidRPr="00BD00A9" w:rsidRDefault="5EC85493" w:rsidP="27C68E55">
      <w:pPr>
        <w:spacing w:after="240" w:line="276" w:lineRule="auto"/>
        <w:jc w:val="both"/>
        <w:rPr>
          <w:rFonts w:ascii="Times New Roman" w:eastAsiaTheme="minorEastAsia" w:hAnsi="Times New Roman"/>
          <w:noProof/>
          <w:sz w:val="24"/>
          <w:szCs w:val="24"/>
          <w:lang w:val="en-IE" w:eastAsia="zh-CN"/>
        </w:rPr>
      </w:pPr>
      <w:r w:rsidRPr="00BD00A9">
        <w:rPr>
          <w:rFonts w:ascii="Times New Roman" w:eastAsiaTheme="minorEastAsia" w:hAnsi="Times New Roman"/>
          <w:noProof/>
          <w:sz w:val="24"/>
          <w:szCs w:val="24"/>
          <w:lang w:val="en-IE" w:eastAsia="zh-CN"/>
        </w:rPr>
        <w:t xml:space="preserve">In June 2023, the Commission </w:t>
      </w:r>
      <w:r w:rsidR="67672B66" w:rsidRPr="00BD00A9">
        <w:rPr>
          <w:rFonts w:ascii="Times New Roman" w:eastAsiaTheme="minorEastAsia" w:hAnsi="Times New Roman"/>
          <w:noProof/>
          <w:sz w:val="24"/>
          <w:szCs w:val="24"/>
          <w:lang w:val="en-IE" w:eastAsia="zh-CN"/>
        </w:rPr>
        <w:t>finalised</w:t>
      </w:r>
      <w:r w:rsidRPr="00BD00A9">
        <w:rPr>
          <w:rFonts w:ascii="Times New Roman" w:eastAsiaTheme="minorEastAsia" w:hAnsi="Times New Roman"/>
          <w:noProof/>
          <w:sz w:val="24"/>
          <w:szCs w:val="24"/>
          <w:lang w:val="en-IE" w:eastAsia="zh-CN"/>
        </w:rPr>
        <w:t xml:space="preserve"> the </w:t>
      </w:r>
      <w:r w:rsidR="67672B66" w:rsidRPr="00BD00A9">
        <w:rPr>
          <w:rFonts w:ascii="Times New Roman" w:eastAsiaTheme="minorEastAsia" w:hAnsi="Times New Roman"/>
          <w:noProof/>
          <w:sz w:val="24"/>
          <w:szCs w:val="24"/>
          <w:lang w:val="en-IE" w:eastAsia="zh-CN"/>
        </w:rPr>
        <w:t>EU accession to</w:t>
      </w:r>
      <w:r w:rsidRPr="00BD00A9">
        <w:rPr>
          <w:rFonts w:ascii="Times New Roman" w:eastAsiaTheme="minorEastAsia" w:hAnsi="Times New Roman"/>
          <w:noProof/>
          <w:sz w:val="24"/>
          <w:szCs w:val="24"/>
          <w:lang w:val="en-IE" w:eastAsia="zh-CN"/>
        </w:rPr>
        <w:t xml:space="preserve"> the </w:t>
      </w:r>
      <w:r w:rsidR="67672B66" w:rsidRPr="00BD00A9">
        <w:rPr>
          <w:rFonts w:ascii="Times New Roman" w:eastAsiaTheme="minorEastAsia" w:hAnsi="Times New Roman"/>
          <w:noProof/>
          <w:sz w:val="24"/>
          <w:szCs w:val="24"/>
          <w:lang w:val="en-IE" w:eastAsia="zh-CN"/>
        </w:rPr>
        <w:t xml:space="preserve">Council of Europe Convention on preventing and combating </w:t>
      </w:r>
      <w:r w:rsidR="67672B66" w:rsidRPr="00BD00A9">
        <w:rPr>
          <w:rFonts w:ascii="Times New Roman" w:eastAsiaTheme="minorEastAsia" w:hAnsi="Times New Roman"/>
          <w:b/>
          <w:bCs/>
          <w:noProof/>
          <w:sz w:val="24"/>
          <w:szCs w:val="24"/>
          <w:lang w:val="en-IE" w:eastAsia="zh-CN"/>
        </w:rPr>
        <w:t>violence against women and domestic violence</w:t>
      </w:r>
      <w:r w:rsidR="67672B66" w:rsidRPr="00BD00A9">
        <w:rPr>
          <w:rFonts w:ascii="Times New Roman" w:eastAsiaTheme="minorEastAsia" w:hAnsi="Times New Roman"/>
          <w:noProof/>
          <w:sz w:val="24"/>
          <w:szCs w:val="24"/>
          <w:lang w:val="en-IE" w:eastAsia="zh-CN"/>
        </w:rPr>
        <w:t xml:space="preserve"> (‘Istanbul Con</w:t>
      </w:r>
      <w:r w:rsidR="37083314" w:rsidRPr="00BD00A9">
        <w:rPr>
          <w:rFonts w:ascii="Times New Roman" w:eastAsiaTheme="minorEastAsia" w:hAnsi="Times New Roman"/>
          <w:noProof/>
          <w:sz w:val="24"/>
          <w:szCs w:val="24"/>
          <w:lang w:val="en-IE" w:eastAsia="zh-CN"/>
        </w:rPr>
        <w:t>vention’).</w:t>
      </w:r>
      <w:r w:rsidR="67672B66" w:rsidRPr="00BD00A9">
        <w:rPr>
          <w:rFonts w:ascii="Times New Roman" w:eastAsiaTheme="minorEastAsia" w:hAnsi="Times New Roman"/>
          <w:noProof/>
          <w:sz w:val="24"/>
          <w:szCs w:val="24"/>
          <w:lang w:val="en-IE" w:eastAsia="zh-CN"/>
        </w:rPr>
        <w:t xml:space="preserve"> </w:t>
      </w:r>
      <w:r w:rsidRPr="00BD00A9">
        <w:rPr>
          <w:rFonts w:ascii="Times New Roman" w:eastAsiaTheme="minorEastAsia" w:hAnsi="Times New Roman"/>
          <w:noProof/>
          <w:sz w:val="24"/>
          <w:szCs w:val="24"/>
          <w:lang w:val="en-IE" w:eastAsia="zh-CN"/>
        </w:rPr>
        <w:t>The EU signed the Convention in June 2017, and the procedure was completed with the deposit of two instruments of approval on 28 June 2023, triggering the entry into force of th</w:t>
      </w:r>
      <w:r w:rsidR="16272B2F" w:rsidRPr="00BD00A9">
        <w:rPr>
          <w:rFonts w:ascii="Times New Roman" w:eastAsiaTheme="minorEastAsia" w:hAnsi="Times New Roman"/>
          <w:noProof/>
          <w:sz w:val="24"/>
          <w:szCs w:val="24"/>
          <w:lang w:val="en-IE" w:eastAsia="zh-CN"/>
        </w:rPr>
        <w:t>e</w:t>
      </w:r>
      <w:r w:rsidRPr="00BD00A9">
        <w:rPr>
          <w:rFonts w:ascii="Times New Roman" w:eastAsiaTheme="minorEastAsia" w:hAnsi="Times New Roman"/>
          <w:noProof/>
          <w:sz w:val="24"/>
          <w:szCs w:val="24"/>
          <w:lang w:val="en-IE" w:eastAsia="zh-CN"/>
        </w:rPr>
        <w:t xml:space="preserve"> Convention for the EU on 1 October 2023. The EU is now bound by ambitious</w:t>
      </w:r>
      <w:r w:rsidR="0B0AC58D" w:rsidRPr="00BD00A9">
        <w:rPr>
          <w:rFonts w:ascii="Times New Roman" w:eastAsiaTheme="minorEastAsia" w:hAnsi="Times New Roman"/>
          <w:noProof/>
          <w:sz w:val="24"/>
          <w:szCs w:val="24"/>
          <w:lang w:val="en-IE" w:eastAsia="zh-CN"/>
        </w:rPr>
        <w:t xml:space="preserve"> and comprehensive </w:t>
      </w:r>
      <w:r w:rsidR="52FAEFEF" w:rsidRPr="00BD00A9">
        <w:rPr>
          <w:rFonts w:ascii="Times New Roman" w:eastAsiaTheme="minorEastAsia" w:hAnsi="Times New Roman"/>
          <w:noProof/>
          <w:sz w:val="24"/>
          <w:szCs w:val="24"/>
          <w:lang w:val="en-IE" w:eastAsia="zh-CN"/>
        </w:rPr>
        <w:t xml:space="preserve">standards to prevent and combat violence against women and domestic violence in the area of judicial cooperation in criminal matters, asylum and non-refoulement, and with regard to its public administration. </w:t>
      </w:r>
    </w:p>
    <w:p w14:paraId="08ADABB9" w14:textId="3770ABB4" w:rsidR="00CC2D24" w:rsidRPr="00BD00A9" w:rsidRDefault="003C1BAC" w:rsidP="27C68E55">
      <w:pPr>
        <w:spacing w:after="240" w:line="276" w:lineRule="auto"/>
        <w:jc w:val="both"/>
        <w:rPr>
          <w:rFonts w:ascii="Times New Roman" w:eastAsiaTheme="minorEastAsia" w:hAnsi="Times New Roman"/>
          <w:noProof/>
          <w:sz w:val="24"/>
          <w:szCs w:val="24"/>
          <w:lang w:val="en-IE" w:eastAsia="zh-CN"/>
        </w:rPr>
      </w:pPr>
      <w:r w:rsidRPr="00BD00A9">
        <w:rPr>
          <w:rFonts w:ascii="Times New Roman" w:eastAsiaTheme="minorEastAsia" w:hAnsi="Times New Roman"/>
          <w:noProof/>
          <w:sz w:val="24"/>
          <w:szCs w:val="24"/>
          <w:lang w:val="en-IE" w:eastAsia="zh-CN"/>
        </w:rPr>
        <w:t xml:space="preserve">In March 2022, the Commission adopted a </w:t>
      </w:r>
      <w:r w:rsidR="00870429" w:rsidRPr="00BD00A9">
        <w:rPr>
          <w:rFonts w:ascii="Times New Roman" w:eastAsiaTheme="minorEastAsia" w:hAnsi="Times New Roman"/>
          <w:noProof/>
          <w:sz w:val="24"/>
          <w:szCs w:val="24"/>
          <w:lang w:val="en-IE" w:eastAsia="zh-CN"/>
        </w:rPr>
        <w:t>proposal for a</w:t>
      </w:r>
      <w:r w:rsidRPr="00BD00A9">
        <w:rPr>
          <w:rFonts w:ascii="Times New Roman" w:eastAsiaTheme="minorEastAsia" w:hAnsi="Times New Roman"/>
          <w:noProof/>
          <w:sz w:val="24"/>
          <w:szCs w:val="24"/>
          <w:lang w:val="en-IE" w:eastAsia="zh-CN"/>
        </w:rPr>
        <w:t xml:space="preserve"> </w:t>
      </w:r>
      <w:r w:rsidR="00D43C77" w:rsidRPr="00BD00A9">
        <w:rPr>
          <w:rFonts w:ascii="Times New Roman" w:eastAsiaTheme="minorEastAsia" w:hAnsi="Times New Roman"/>
          <w:noProof/>
          <w:sz w:val="24"/>
          <w:szCs w:val="24"/>
          <w:lang w:val="en-IE" w:eastAsia="zh-CN"/>
        </w:rPr>
        <w:t>d</w:t>
      </w:r>
      <w:r w:rsidRPr="00BD00A9">
        <w:rPr>
          <w:rFonts w:ascii="Times New Roman" w:eastAsiaTheme="minorEastAsia" w:hAnsi="Times New Roman"/>
          <w:noProof/>
          <w:sz w:val="24"/>
          <w:szCs w:val="24"/>
          <w:lang w:val="en-IE" w:eastAsia="zh-CN"/>
        </w:rPr>
        <w:t>irective combating violence against women and domestic violence</w:t>
      </w:r>
      <w:r w:rsidR="00D9602E" w:rsidRPr="00BD00A9">
        <w:rPr>
          <w:rStyle w:val="FootnoteReference"/>
          <w:rFonts w:ascii="Times New Roman" w:eastAsiaTheme="minorEastAsia" w:hAnsi="Times New Roman"/>
          <w:noProof/>
          <w:sz w:val="24"/>
          <w:szCs w:val="24"/>
          <w:lang w:val="en-IE" w:eastAsia="zh-CN"/>
        </w:rPr>
        <w:footnoteReference w:id="45"/>
      </w:r>
      <w:r w:rsidRPr="00BD00A9">
        <w:rPr>
          <w:rFonts w:ascii="Times New Roman" w:eastAsiaTheme="minorEastAsia" w:hAnsi="Times New Roman"/>
          <w:noProof/>
          <w:sz w:val="24"/>
          <w:szCs w:val="24"/>
          <w:lang w:val="en-IE" w:eastAsia="zh-CN"/>
        </w:rPr>
        <w:t>.</w:t>
      </w:r>
      <w:r w:rsidR="00D9602E" w:rsidRPr="00BD00A9">
        <w:rPr>
          <w:noProof/>
        </w:rPr>
        <w:t xml:space="preserve"> </w:t>
      </w:r>
      <w:r w:rsidR="00870429" w:rsidRPr="00BD00A9">
        <w:rPr>
          <w:rFonts w:ascii="Times New Roman" w:eastAsiaTheme="minorEastAsia" w:hAnsi="Times New Roman"/>
          <w:noProof/>
          <w:sz w:val="24"/>
          <w:szCs w:val="24"/>
          <w:lang w:val="en-IE" w:eastAsia="zh-CN"/>
        </w:rPr>
        <w:t xml:space="preserve">It </w:t>
      </w:r>
      <w:r w:rsidR="00FC5A67">
        <w:rPr>
          <w:rFonts w:ascii="Times New Roman" w:eastAsiaTheme="minorEastAsia" w:hAnsi="Times New Roman"/>
          <w:noProof/>
          <w:sz w:val="24"/>
          <w:szCs w:val="24"/>
          <w:lang w:val="en-IE" w:eastAsia="zh-CN"/>
        </w:rPr>
        <w:t xml:space="preserve">sets measures </w:t>
      </w:r>
      <w:r w:rsidR="00870429" w:rsidRPr="00BD00A9">
        <w:rPr>
          <w:rFonts w:ascii="Times New Roman" w:eastAsiaTheme="minorEastAsia" w:hAnsi="Times New Roman"/>
          <w:noProof/>
          <w:sz w:val="24"/>
          <w:szCs w:val="24"/>
          <w:lang w:val="en-IE" w:eastAsia="zh-CN"/>
        </w:rPr>
        <w:t xml:space="preserve">of prevention, protection, access to justice </w:t>
      </w:r>
      <w:r w:rsidR="349A6886" w:rsidRPr="00BD00A9">
        <w:rPr>
          <w:rFonts w:ascii="Times New Roman" w:eastAsiaTheme="minorEastAsia" w:hAnsi="Times New Roman"/>
          <w:noProof/>
          <w:sz w:val="24"/>
          <w:szCs w:val="24"/>
          <w:lang w:val="en-IE" w:eastAsia="zh-CN"/>
        </w:rPr>
        <w:t>for victims</w:t>
      </w:r>
      <w:r w:rsidR="00FC5A67">
        <w:rPr>
          <w:rFonts w:ascii="Times New Roman" w:eastAsiaTheme="minorEastAsia" w:hAnsi="Times New Roman"/>
          <w:noProof/>
          <w:sz w:val="24"/>
          <w:szCs w:val="24"/>
          <w:lang w:val="en-IE" w:eastAsia="zh-CN"/>
        </w:rPr>
        <w:t xml:space="preserve"> and sets a common definition of certain criminal offences such as rape based on lack of consent and cyberviolence.</w:t>
      </w:r>
      <w:r w:rsidR="00870429" w:rsidRPr="00BD00A9">
        <w:rPr>
          <w:rFonts w:ascii="Times New Roman" w:eastAsiaTheme="minorEastAsia" w:hAnsi="Times New Roman"/>
          <w:noProof/>
          <w:sz w:val="24"/>
          <w:szCs w:val="24"/>
          <w:lang w:val="en-IE" w:eastAsia="zh-CN"/>
        </w:rPr>
        <w:t xml:space="preserve"> </w:t>
      </w:r>
      <w:r w:rsidR="00764A5C" w:rsidRPr="00BD00A9">
        <w:rPr>
          <w:rFonts w:ascii="Times New Roman" w:eastAsiaTheme="minorEastAsia" w:hAnsi="Times New Roman"/>
          <w:noProof/>
          <w:sz w:val="24"/>
          <w:szCs w:val="24"/>
          <w:lang w:val="en-IE" w:eastAsia="zh-CN"/>
        </w:rPr>
        <w:t xml:space="preserve">The proposal aims to prevent and combat violence against women and domestic violence online and offline, to ensure a high level of security and the full enjoyment of fundamental rights within the EU, including the right to equal treatment and non-discrimination between women and men. </w:t>
      </w:r>
      <w:r w:rsidR="283FDF0F" w:rsidRPr="00BD00A9">
        <w:rPr>
          <w:rFonts w:ascii="Times New Roman" w:eastAsiaTheme="minorEastAsia" w:hAnsi="Times New Roman"/>
          <w:noProof/>
          <w:sz w:val="24"/>
          <w:szCs w:val="24"/>
          <w:lang w:val="en-IE" w:eastAsia="zh-CN"/>
        </w:rPr>
        <w:t>The</w:t>
      </w:r>
      <w:r w:rsidR="07461374" w:rsidRPr="00BD00A9">
        <w:rPr>
          <w:rFonts w:ascii="Times New Roman" w:eastAsiaTheme="minorEastAsia" w:hAnsi="Times New Roman"/>
          <w:noProof/>
          <w:sz w:val="24"/>
          <w:szCs w:val="24"/>
          <w:lang w:val="en-IE" w:eastAsia="zh-CN"/>
        </w:rPr>
        <w:t xml:space="preserve"> co-legislators are</w:t>
      </w:r>
      <w:r w:rsidR="283FDF0F" w:rsidRPr="00BD00A9">
        <w:rPr>
          <w:rFonts w:ascii="Times New Roman" w:eastAsiaTheme="minorEastAsia" w:hAnsi="Times New Roman"/>
          <w:noProof/>
          <w:sz w:val="24"/>
          <w:szCs w:val="24"/>
          <w:lang w:val="en-IE" w:eastAsia="zh-CN"/>
        </w:rPr>
        <w:t xml:space="preserve"> currently negotiatin</w:t>
      </w:r>
      <w:r w:rsidR="04822D8B" w:rsidRPr="00BD00A9">
        <w:rPr>
          <w:rFonts w:ascii="Times New Roman" w:eastAsiaTheme="minorEastAsia" w:hAnsi="Times New Roman"/>
          <w:noProof/>
          <w:sz w:val="24"/>
          <w:szCs w:val="24"/>
          <w:lang w:val="en-IE" w:eastAsia="zh-CN"/>
        </w:rPr>
        <w:t>g</w:t>
      </w:r>
      <w:r w:rsidR="283FDF0F" w:rsidRPr="00BD00A9">
        <w:rPr>
          <w:rFonts w:ascii="Times New Roman" w:eastAsiaTheme="minorEastAsia" w:hAnsi="Times New Roman"/>
          <w:noProof/>
          <w:sz w:val="24"/>
          <w:szCs w:val="24"/>
          <w:lang w:val="en-IE" w:eastAsia="zh-CN"/>
        </w:rPr>
        <w:t xml:space="preserve"> with a view of </w:t>
      </w:r>
      <w:r w:rsidR="70241A12" w:rsidRPr="00BD00A9">
        <w:rPr>
          <w:rFonts w:ascii="Times New Roman" w:eastAsiaTheme="minorEastAsia" w:hAnsi="Times New Roman"/>
          <w:noProof/>
          <w:sz w:val="24"/>
          <w:szCs w:val="24"/>
          <w:lang w:val="en-IE" w:eastAsia="zh-CN"/>
        </w:rPr>
        <w:t>reaching an agreement and</w:t>
      </w:r>
      <w:r w:rsidR="283FDF0F" w:rsidRPr="00BD00A9">
        <w:rPr>
          <w:rFonts w:ascii="Times New Roman" w:eastAsiaTheme="minorEastAsia" w:hAnsi="Times New Roman"/>
          <w:noProof/>
          <w:sz w:val="24"/>
          <w:szCs w:val="24"/>
          <w:lang w:val="en-IE" w:eastAsia="zh-CN"/>
        </w:rPr>
        <w:t xml:space="preserve"> adopting </w:t>
      </w:r>
      <w:r w:rsidR="76922CA6" w:rsidRPr="00BD00A9">
        <w:rPr>
          <w:rFonts w:ascii="Times New Roman" w:eastAsiaTheme="minorEastAsia" w:hAnsi="Times New Roman"/>
          <w:noProof/>
          <w:sz w:val="24"/>
          <w:szCs w:val="24"/>
          <w:lang w:val="en-IE" w:eastAsia="zh-CN"/>
        </w:rPr>
        <w:t xml:space="preserve">the </w:t>
      </w:r>
      <w:r w:rsidR="00141FC6">
        <w:rPr>
          <w:rFonts w:ascii="Times New Roman" w:eastAsiaTheme="minorEastAsia" w:hAnsi="Times New Roman"/>
          <w:noProof/>
          <w:sz w:val="24"/>
          <w:szCs w:val="24"/>
          <w:lang w:val="en-IE" w:eastAsia="zh-CN"/>
        </w:rPr>
        <w:t>d</w:t>
      </w:r>
      <w:r w:rsidR="76922CA6" w:rsidRPr="00BD00A9">
        <w:rPr>
          <w:rFonts w:ascii="Times New Roman" w:eastAsiaTheme="minorEastAsia" w:hAnsi="Times New Roman"/>
          <w:noProof/>
          <w:sz w:val="24"/>
          <w:szCs w:val="24"/>
          <w:lang w:val="en-IE" w:eastAsia="zh-CN"/>
        </w:rPr>
        <w:t>irective before the end of the current legislative term.</w:t>
      </w:r>
      <w:r w:rsidR="283FDF0F" w:rsidRPr="00BD00A9">
        <w:rPr>
          <w:rFonts w:ascii="Times New Roman" w:eastAsiaTheme="minorEastAsia" w:hAnsi="Times New Roman"/>
          <w:noProof/>
          <w:sz w:val="24"/>
          <w:szCs w:val="24"/>
          <w:lang w:val="en-IE" w:eastAsia="zh-CN"/>
        </w:rPr>
        <w:t xml:space="preserve"> </w:t>
      </w:r>
      <w:r w:rsidR="4C7BF348" w:rsidRPr="00BD00A9">
        <w:rPr>
          <w:rFonts w:ascii="Times New Roman" w:eastAsiaTheme="minorEastAsia" w:hAnsi="Times New Roman"/>
          <w:noProof/>
          <w:sz w:val="24"/>
          <w:szCs w:val="24"/>
          <w:lang w:val="en-IE" w:eastAsia="zh-CN"/>
        </w:rPr>
        <w:t xml:space="preserve">Once adopted, the </w:t>
      </w:r>
      <w:r w:rsidR="009857EB" w:rsidRPr="00BD00A9">
        <w:rPr>
          <w:rFonts w:ascii="Times New Roman" w:eastAsiaTheme="minorEastAsia" w:hAnsi="Times New Roman"/>
          <w:noProof/>
          <w:sz w:val="24"/>
          <w:szCs w:val="24"/>
          <w:lang w:val="en-IE" w:eastAsia="zh-CN"/>
        </w:rPr>
        <w:t>d</w:t>
      </w:r>
      <w:r w:rsidR="4C7BF348" w:rsidRPr="00BD00A9">
        <w:rPr>
          <w:rFonts w:ascii="Times New Roman" w:eastAsiaTheme="minorEastAsia" w:hAnsi="Times New Roman"/>
          <w:noProof/>
          <w:sz w:val="24"/>
          <w:szCs w:val="24"/>
          <w:lang w:val="en-IE" w:eastAsia="zh-CN"/>
        </w:rPr>
        <w:t>irective will implement the Istanbul Convention in the areas of EU competence.</w:t>
      </w:r>
      <w:r w:rsidR="4B309DC9" w:rsidRPr="00BD00A9">
        <w:rPr>
          <w:rFonts w:ascii="Times New Roman" w:eastAsiaTheme="minorEastAsia" w:hAnsi="Times New Roman"/>
          <w:noProof/>
          <w:sz w:val="24"/>
          <w:szCs w:val="24"/>
          <w:lang w:val="en-IE" w:eastAsia="zh-CN"/>
        </w:rPr>
        <w:t xml:space="preserve"> </w:t>
      </w:r>
    </w:p>
    <w:p w14:paraId="57E0D6B2" w14:textId="431F080F" w:rsidR="003C1BAC" w:rsidRDefault="003C1BAC" w:rsidP="003C1BAC">
      <w:pPr>
        <w:spacing w:after="240" w:line="276" w:lineRule="auto"/>
        <w:jc w:val="both"/>
        <w:rPr>
          <w:rFonts w:ascii="Times New Roman" w:eastAsiaTheme="minorEastAsia" w:hAnsi="Times New Roman"/>
          <w:noProof/>
          <w:sz w:val="24"/>
          <w:szCs w:val="24"/>
          <w:lang w:val="en-IE" w:eastAsia="zh-CN"/>
        </w:rPr>
      </w:pPr>
      <w:r w:rsidRPr="00BD00A9">
        <w:rPr>
          <w:rFonts w:ascii="Times New Roman" w:eastAsiaTheme="minorEastAsia" w:hAnsi="Times New Roman"/>
          <w:noProof/>
          <w:sz w:val="24"/>
          <w:szCs w:val="24"/>
          <w:lang w:val="en-IE" w:eastAsia="zh-CN"/>
        </w:rPr>
        <w:t>In 2022 and 2023, the Commission facilitated agreement</w:t>
      </w:r>
      <w:r w:rsidR="00764A5C" w:rsidRPr="00BD00A9">
        <w:rPr>
          <w:rFonts w:ascii="Times New Roman" w:eastAsiaTheme="minorEastAsia" w:hAnsi="Times New Roman"/>
          <w:noProof/>
          <w:sz w:val="24"/>
          <w:szCs w:val="24"/>
          <w:lang w:val="en-IE" w:eastAsia="zh-CN"/>
        </w:rPr>
        <w:t>s</w:t>
      </w:r>
      <w:r w:rsidRPr="00BD00A9">
        <w:rPr>
          <w:rFonts w:ascii="Times New Roman" w:eastAsiaTheme="minorEastAsia" w:hAnsi="Times New Roman"/>
          <w:noProof/>
          <w:sz w:val="24"/>
          <w:szCs w:val="24"/>
          <w:lang w:val="en-IE" w:eastAsia="zh-CN"/>
        </w:rPr>
        <w:t xml:space="preserve"> between the European Parliament and the Council on Directive 2022/2381 on </w:t>
      </w:r>
      <w:r w:rsidRPr="00BD00A9">
        <w:rPr>
          <w:rFonts w:ascii="Times New Roman" w:eastAsiaTheme="minorEastAsia" w:hAnsi="Times New Roman"/>
          <w:b/>
          <w:bCs/>
          <w:noProof/>
          <w:sz w:val="24"/>
          <w:szCs w:val="24"/>
          <w:lang w:val="en-IE" w:eastAsia="zh-CN"/>
        </w:rPr>
        <w:t>gender balance in company boards</w:t>
      </w:r>
      <w:r w:rsidRPr="00BD00A9">
        <w:rPr>
          <w:rFonts w:ascii="Times New Roman" w:eastAsiaTheme="minorEastAsia" w:hAnsi="Times New Roman"/>
          <w:noProof/>
          <w:sz w:val="24"/>
          <w:szCs w:val="24"/>
          <w:vertAlign w:val="superscript"/>
          <w:lang w:val="en-IE" w:eastAsia="zh-CN"/>
        </w:rPr>
        <w:footnoteReference w:id="46"/>
      </w:r>
      <w:r w:rsidRPr="00BD00A9">
        <w:rPr>
          <w:rFonts w:ascii="Times New Roman" w:eastAsiaTheme="minorEastAsia" w:hAnsi="Times New Roman"/>
          <w:noProof/>
          <w:sz w:val="24"/>
          <w:szCs w:val="24"/>
          <w:lang w:val="en-IE" w:eastAsia="zh-CN"/>
        </w:rPr>
        <w:t xml:space="preserve"> and Directive 2023/970 on </w:t>
      </w:r>
      <w:r w:rsidR="002E5164" w:rsidRPr="00BD00A9">
        <w:rPr>
          <w:rFonts w:ascii="Times New Roman" w:eastAsiaTheme="minorEastAsia" w:hAnsi="Times New Roman"/>
          <w:b/>
          <w:bCs/>
          <w:noProof/>
          <w:sz w:val="24"/>
          <w:szCs w:val="24"/>
          <w:lang w:val="en-IE" w:eastAsia="zh-CN"/>
        </w:rPr>
        <w:t>p</w:t>
      </w:r>
      <w:r w:rsidRPr="00BD00A9">
        <w:rPr>
          <w:rFonts w:ascii="Times New Roman" w:eastAsiaTheme="minorEastAsia" w:hAnsi="Times New Roman"/>
          <w:b/>
          <w:bCs/>
          <w:noProof/>
          <w:sz w:val="24"/>
          <w:szCs w:val="24"/>
          <w:lang w:val="en-IE" w:eastAsia="zh-CN"/>
        </w:rPr>
        <w:t xml:space="preserve">ay </w:t>
      </w:r>
      <w:r w:rsidR="002E5164" w:rsidRPr="00BD00A9">
        <w:rPr>
          <w:rFonts w:ascii="Times New Roman" w:eastAsiaTheme="minorEastAsia" w:hAnsi="Times New Roman"/>
          <w:b/>
          <w:bCs/>
          <w:noProof/>
          <w:sz w:val="24"/>
          <w:szCs w:val="24"/>
          <w:lang w:val="en-IE" w:eastAsia="zh-CN"/>
        </w:rPr>
        <w:t>t</w:t>
      </w:r>
      <w:r w:rsidRPr="00BD00A9">
        <w:rPr>
          <w:rFonts w:ascii="Times New Roman" w:eastAsiaTheme="minorEastAsia" w:hAnsi="Times New Roman"/>
          <w:b/>
          <w:bCs/>
          <w:noProof/>
          <w:sz w:val="24"/>
          <w:szCs w:val="24"/>
          <w:lang w:val="en-IE" w:eastAsia="zh-CN"/>
        </w:rPr>
        <w:t>ransparency</w:t>
      </w:r>
      <w:r w:rsidRPr="00BD00A9">
        <w:rPr>
          <w:rFonts w:ascii="Times New Roman" w:eastAsiaTheme="minorEastAsia" w:hAnsi="Times New Roman"/>
          <w:noProof/>
          <w:sz w:val="24"/>
          <w:szCs w:val="24"/>
          <w:vertAlign w:val="superscript"/>
          <w:lang w:val="en-IE" w:eastAsia="zh-CN"/>
        </w:rPr>
        <w:footnoteReference w:id="47"/>
      </w:r>
      <w:r w:rsidRPr="00BD00A9">
        <w:rPr>
          <w:rFonts w:ascii="Times New Roman" w:eastAsiaTheme="minorEastAsia" w:hAnsi="Times New Roman"/>
          <w:noProof/>
          <w:sz w:val="24"/>
          <w:szCs w:val="24"/>
          <w:lang w:val="en-IE" w:eastAsia="zh-CN"/>
        </w:rPr>
        <w:t xml:space="preserve">. </w:t>
      </w:r>
      <w:r w:rsidR="00764A5C" w:rsidRPr="00BD00A9">
        <w:rPr>
          <w:rFonts w:ascii="Times New Roman" w:eastAsiaTheme="minorEastAsia" w:hAnsi="Times New Roman"/>
          <w:noProof/>
          <w:sz w:val="24"/>
          <w:szCs w:val="24"/>
          <w:lang w:val="en-IE" w:eastAsia="zh-CN"/>
        </w:rPr>
        <w:t xml:space="preserve">The two Directives aim respectively at </w:t>
      </w:r>
      <w:r w:rsidR="00764A5C" w:rsidRPr="00BD00A9">
        <w:rPr>
          <w:rFonts w:ascii="Times New Roman" w:hAnsi="Times New Roman" w:cs="Times New Roman"/>
          <w:noProof/>
          <w:sz w:val="24"/>
          <w:szCs w:val="24"/>
          <w:lang w:eastAsia="zh-CN"/>
        </w:rPr>
        <w:t xml:space="preserve">achieving a more balanced representation of men and women among the directors of listed companies and at </w:t>
      </w:r>
      <w:r w:rsidR="00764A5C" w:rsidRPr="00BD00A9">
        <w:rPr>
          <w:rFonts w:ascii="Times New Roman" w:eastAsiaTheme="minorEastAsia" w:hAnsi="Times New Roman"/>
          <w:noProof/>
          <w:sz w:val="24"/>
          <w:szCs w:val="24"/>
          <w:lang w:val="en-IE" w:eastAsia="zh-CN"/>
        </w:rPr>
        <w:t>combating pay discrimination and help</w:t>
      </w:r>
      <w:r w:rsidR="0063414C" w:rsidRPr="00BD00A9">
        <w:rPr>
          <w:rFonts w:ascii="Times New Roman" w:eastAsiaTheme="minorEastAsia" w:hAnsi="Times New Roman"/>
          <w:noProof/>
          <w:sz w:val="24"/>
          <w:szCs w:val="24"/>
          <w:lang w:val="en-IE" w:eastAsia="zh-CN"/>
        </w:rPr>
        <w:t>ing</w:t>
      </w:r>
      <w:r w:rsidR="00764A5C" w:rsidRPr="00BD00A9">
        <w:rPr>
          <w:rFonts w:ascii="Times New Roman" w:eastAsiaTheme="minorEastAsia" w:hAnsi="Times New Roman"/>
          <w:noProof/>
          <w:sz w:val="24"/>
          <w:szCs w:val="24"/>
          <w:lang w:val="en-IE" w:eastAsia="zh-CN"/>
        </w:rPr>
        <w:t xml:space="preserve"> close the gender pay gap in the EU. </w:t>
      </w:r>
      <w:r w:rsidR="00D91666" w:rsidRPr="00BD00A9">
        <w:rPr>
          <w:rFonts w:ascii="Times New Roman" w:hAnsi="Times New Roman" w:cs="Times New Roman"/>
          <w:noProof/>
          <w:sz w:val="24"/>
          <w:szCs w:val="24"/>
          <w:lang w:eastAsia="zh-CN"/>
        </w:rPr>
        <w:t xml:space="preserve">In </w:t>
      </w:r>
      <w:r w:rsidR="00D76DF8" w:rsidRPr="00BD00A9">
        <w:rPr>
          <w:rFonts w:ascii="Times New Roman" w:hAnsi="Times New Roman" w:cs="Times New Roman"/>
          <w:noProof/>
          <w:sz w:val="24"/>
          <w:szCs w:val="24"/>
          <w:lang w:eastAsia="zh-CN"/>
        </w:rPr>
        <w:t>November</w:t>
      </w:r>
      <w:r w:rsidR="00D91666" w:rsidRPr="00BD00A9">
        <w:rPr>
          <w:rFonts w:ascii="Times New Roman" w:hAnsi="Times New Roman" w:cs="Times New Roman"/>
          <w:noProof/>
          <w:sz w:val="24"/>
          <w:szCs w:val="24"/>
          <w:lang w:eastAsia="zh-CN"/>
        </w:rPr>
        <w:t xml:space="preserve"> 2022, the Council adopted two Recommendations, which the Commission had put forward as part of the </w:t>
      </w:r>
      <w:r w:rsidR="00D91666" w:rsidRPr="00BD00A9">
        <w:rPr>
          <w:rFonts w:ascii="Times New Roman" w:hAnsi="Times New Roman" w:cs="Times New Roman"/>
          <w:b/>
          <w:bCs/>
          <w:noProof/>
          <w:sz w:val="24"/>
          <w:szCs w:val="24"/>
          <w:lang w:eastAsia="zh-CN"/>
        </w:rPr>
        <w:t>European Care Strategy</w:t>
      </w:r>
      <w:r w:rsidR="00D91666" w:rsidRPr="00BD00A9">
        <w:rPr>
          <w:rFonts w:ascii="Times New Roman" w:hAnsi="Times New Roman" w:cs="Times New Roman"/>
          <w:noProof/>
          <w:sz w:val="24"/>
          <w:szCs w:val="24"/>
          <w:lang w:eastAsia="zh-CN"/>
        </w:rPr>
        <w:t>: one on early childhood education and care</w:t>
      </w:r>
      <w:r w:rsidR="00F23390" w:rsidRPr="00BD00A9">
        <w:rPr>
          <w:rFonts w:ascii="Times New Roman" w:hAnsi="Times New Roman" w:cs="Times New Roman"/>
          <w:noProof/>
          <w:sz w:val="24"/>
          <w:szCs w:val="24"/>
          <w:lang w:eastAsia="zh-CN"/>
        </w:rPr>
        <w:t xml:space="preserve"> and another one on affordable high-quality long-term care</w:t>
      </w:r>
      <w:r w:rsidR="00D91666" w:rsidRPr="00BD00A9">
        <w:rPr>
          <w:rFonts w:ascii="Times New Roman" w:hAnsi="Times New Roman" w:cs="Times New Roman"/>
          <w:noProof/>
          <w:sz w:val="24"/>
          <w:szCs w:val="24"/>
          <w:lang w:eastAsia="zh-CN"/>
        </w:rPr>
        <w:t xml:space="preserve"> (the Barcelona targets </w:t>
      </w:r>
      <w:r w:rsidR="002E5164" w:rsidRPr="00BD00A9">
        <w:rPr>
          <w:rFonts w:ascii="Times New Roman" w:hAnsi="Times New Roman" w:cs="Times New Roman"/>
          <w:noProof/>
          <w:sz w:val="24"/>
          <w:szCs w:val="24"/>
          <w:lang w:eastAsia="zh-CN"/>
        </w:rPr>
        <w:t xml:space="preserve">for </w:t>
      </w:r>
      <w:r w:rsidR="00D91666" w:rsidRPr="00BD00A9">
        <w:rPr>
          <w:rFonts w:ascii="Times New Roman" w:hAnsi="Times New Roman" w:cs="Times New Roman"/>
          <w:noProof/>
          <w:sz w:val="24"/>
          <w:szCs w:val="24"/>
          <w:lang w:eastAsia="zh-CN"/>
        </w:rPr>
        <w:t>2030). Their aim is to ensure high quality, affordable and accessible care services across the EU</w:t>
      </w:r>
      <w:r w:rsidRPr="00BD00A9">
        <w:rPr>
          <w:rFonts w:ascii="Times New Roman" w:eastAsiaTheme="minorEastAsia" w:hAnsi="Times New Roman"/>
          <w:noProof/>
          <w:sz w:val="24"/>
          <w:szCs w:val="24"/>
          <w:vertAlign w:val="superscript"/>
          <w:lang w:val="en-IE" w:eastAsia="zh-CN"/>
        </w:rPr>
        <w:footnoteReference w:id="48"/>
      </w:r>
      <w:r w:rsidRPr="00BD00A9">
        <w:rPr>
          <w:rFonts w:ascii="Times New Roman" w:eastAsiaTheme="minorEastAsia" w:hAnsi="Times New Roman"/>
          <w:noProof/>
          <w:sz w:val="24"/>
          <w:szCs w:val="24"/>
          <w:lang w:val="en-IE" w:eastAsia="zh-CN"/>
        </w:rPr>
        <w:t xml:space="preserve">. </w:t>
      </w:r>
      <w:r w:rsidR="00FC0E78" w:rsidRPr="00BD00A9">
        <w:rPr>
          <w:rFonts w:ascii="Times New Roman" w:eastAsiaTheme="minorEastAsia" w:hAnsi="Times New Roman"/>
          <w:noProof/>
          <w:sz w:val="24"/>
          <w:szCs w:val="24"/>
          <w:lang w:val="en-IE" w:eastAsia="zh-CN"/>
        </w:rPr>
        <w:t>In 2023, the Commission launched an EU-wide communication campaign to challenge gender stereotypes</w:t>
      </w:r>
      <w:r w:rsidR="005D01F7" w:rsidRPr="00BD00A9">
        <w:rPr>
          <w:rFonts w:ascii="Times New Roman" w:eastAsiaTheme="minorEastAsia" w:hAnsi="Times New Roman"/>
          <w:noProof/>
          <w:sz w:val="24"/>
          <w:szCs w:val="24"/>
          <w:lang w:val="en-IE" w:eastAsia="zh-CN"/>
        </w:rPr>
        <w:t xml:space="preserve"> and raise awareness about the role they play in society</w:t>
      </w:r>
      <w:r w:rsidR="00FC0E78" w:rsidRPr="00BD00A9">
        <w:rPr>
          <w:rFonts w:ascii="Times New Roman" w:eastAsiaTheme="minorEastAsia" w:hAnsi="Times New Roman"/>
          <w:noProof/>
          <w:sz w:val="24"/>
          <w:szCs w:val="24"/>
          <w:lang w:val="en-IE" w:eastAsia="zh-CN"/>
        </w:rPr>
        <w:t xml:space="preserve">. The #EndGenderStereotypes campaign tackles gender stereotypes in different areas of life, such as career choices, sharing care responsibilities and decision-making. </w:t>
      </w:r>
    </w:p>
    <w:p w14:paraId="230FA82F" w14:textId="1F59C413" w:rsidR="003349B7" w:rsidRDefault="003349B7" w:rsidP="003349B7">
      <w:pPr>
        <w:spacing w:after="240" w:line="276" w:lineRule="auto"/>
        <w:jc w:val="both"/>
        <w:rPr>
          <w:rFonts w:ascii="Times New Roman" w:eastAsiaTheme="minorEastAsia" w:hAnsi="Times New Roman"/>
          <w:noProof/>
          <w:sz w:val="24"/>
          <w:szCs w:val="24"/>
          <w:lang w:val="en-IE" w:eastAsia="zh-CN"/>
        </w:rPr>
      </w:pPr>
      <w:r w:rsidRPr="00BD00A9">
        <w:rPr>
          <w:rFonts w:ascii="Times New Roman" w:eastAsiaTheme="minorEastAsia" w:hAnsi="Times New Roman"/>
          <w:noProof/>
          <w:sz w:val="24"/>
          <w:szCs w:val="24"/>
          <w:lang w:val="en-IE" w:eastAsia="zh-CN"/>
        </w:rPr>
        <w:t xml:space="preserve">The Commission continued implementation of its ambitious </w:t>
      </w:r>
      <w:r w:rsidRPr="00BD00A9">
        <w:rPr>
          <w:rFonts w:ascii="Times New Roman" w:eastAsiaTheme="minorEastAsia" w:hAnsi="Times New Roman"/>
          <w:b/>
          <w:bCs/>
          <w:noProof/>
          <w:sz w:val="24"/>
          <w:szCs w:val="24"/>
          <w:lang w:val="en-IE" w:eastAsia="zh-CN"/>
        </w:rPr>
        <w:t>EU anti-racism action plan</w:t>
      </w:r>
      <w:r w:rsidRPr="00BD00A9">
        <w:rPr>
          <w:rFonts w:ascii="Times New Roman" w:eastAsiaTheme="minorEastAsia" w:hAnsi="Times New Roman"/>
          <w:noProof/>
          <w:sz w:val="24"/>
          <w:szCs w:val="24"/>
          <w:lang w:val="en-IE" w:eastAsia="zh-CN"/>
        </w:rPr>
        <w:t xml:space="preserve"> 2020-2025</w:t>
      </w:r>
      <w:r w:rsidRPr="00BD00A9">
        <w:rPr>
          <w:rStyle w:val="FootnoteReference"/>
          <w:rFonts w:ascii="Times New Roman" w:eastAsiaTheme="minorEastAsia" w:hAnsi="Times New Roman"/>
          <w:noProof/>
          <w:sz w:val="24"/>
          <w:szCs w:val="24"/>
          <w:lang w:val="en-IE" w:eastAsia="zh-CN"/>
        </w:rPr>
        <w:footnoteReference w:id="49"/>
      </w:r>
      <w:r w:rsidRPr="00BD00A9">
        <w:rPr>
          <w:rFonts w:ascii="Times New Roman" w:eastAsiaTheme="minorEastAsia" w:hAnsi="Times New Roman"/>
          <w:noProof/>
          <w:sz w:val="24"/>
          <w:szCs w:val="24"/>
          <w:lang w:val="en-IE" w:eastAsia="zh-CN"/>
        </w:rPr>
        <w:t>. In June 2021, the Commission appointed its very first Anti-racism Coordinator. The Commission strongly encouraged Member States to adopt national action plans against racism and racial discrimination</w:t>
      </w:r>
      <w:r w:rsidR="00FC5A67">
        <w:rPr>
          <w:rFonts w:ascii="Times New Roman" w:eastAsiaTheme="minorEastAsia" w:hAnsi="Times New Roman"/>
          <w:noProof/>
          <w:sz w:val="24"/>
          <w:szCs w:val="24"/>
          <w:lang w:val="en-IE" w:eastAsia="zh-CN"/>
        </w:rPr>
        <w:t>. Furthermore, Member States committed to this aim in the Council Conclusions on Combating Racism and Antisemitism in May 2022. To support Member States, the Commission</w:t>
      </w:r>
      <w:r w:rsidR="00FC5A67" w:rsidRPr="00BD00A9">
        <w:rPr>
          <w:rFonts w:ascii="Times New Roman" w:eastAsiaTheme="minorEastAsia" w:hAnsi="Times New Roman"/>
          <w:noProof/>
          <w:sz w:val="24"/>
          <w:szCs w:val="24"/>
          <w:lang w:val="en-IE" w:eastAsia="zh-CN"/>
        </w:rPr>
        <w:t xml:space="preserve"> launched common guiding principles for national action plans against racism and racial discrimination in March 2022</w:t>
      </w:r>
      <w:r w:rsidR="00FC5A67" w:rsidRPr="00BD00A9">
        <w:rPr>
          <w:rStyle w:val="FootnoteReference"/>
          <w:rFonts w:ascii="Times New Roman" w:eastAsiaTheme="minorEastAsia" w:hAnsi="Times New Roman"/>
          <w:noProof/>
          <w:sz w:val="24"/>
          <w:szCs w:val="24"/>
          <w:lang w:val="en-IE" w:eastAsia="zh-CN"/>
        </w:rPr>
        <w:footnoteReference w:id="50"/>
      </w:r>
      <w:r w:rsidR="00FC5A67" w:rsidRPr="00BD00A9">
        <w:rPr>
          <w:rFonts w:ascii="Times New Roman" w:eastAsiaTheme="minorEastAsia" w:hAnsi="Times New Roman"/>
          <w:noProof/>
          <w:sz w:val="24"/>
          <w:szCs w:val="24"/>
          <w:lang w:val="en-IE" w:eastAsia="zh-CN"/>
        </w:rPr>
        <w:t xml:space="preserve">. </w:t>
      </w:r>
      <w:r w:rsidRPr="00BD00A9">
        <w:rPr>
          <w:rFonts w:ascii="Times New Roman" w:eastAsiaTheme="minorEastAsia" w:hAnsi="Times New Roman"/>
          <w:noProof/>
          <w:sz w:val="24"/>
          <w:szCs w:val="24"/>
          <w:lang w:val="en-IE" w:eastAsia="zh-CN"/>
        </w:rPr>
        <w:t>These principles are intended to serve as a basis for Member States and to facilitate the process of developing and implementing a national action plan.</w:t>
      </w:r>
      <w:r w:rsidR="00FC5A67">
        <w:rPr>
          <w:rFonts w:ascii="Times New Roman" w:eastAsiaTheme="minorEastAsia" w:hAnsi="Times New Roman"/>
          <w:noProof/>
          <w:sz w:val="24"/>
          <w:szCs w:val="24"/>
          <w:lang w:val="en-IE" w:eastAsia="zh-CN"/>
        </w:rPr>
        <w:t xml:space="preserve"> Currently 11 Member States have adopted national action plans against racism and </w:t>
      </w:r>
      <w:r w:rsidR="00DC75B4">
        <w:rPr>
          <w:rFonts w:ascii="Times New Roman" w:eastAsiaTheme="minorEastAsia" w:hAnsi="Times New Roman"/>
          <w:noProof/>
          <w:sz w:val="24"/>
          <w:szCs w:val="24"/>
          <w:lang w:val="en-IE" w:eastAsia="zh-CN"/>
        </w:rPr>
        <w:t>five</w:t>
      </w:r>
      <w:r w:rsidR="00FC5A67" w:rsidRPr="00154544">
        <w:rPr>
          <w:rFonts w:ascii="Times New Roman" w:eastAsiaTheme="minorEastAsia" w:hAnsi="Times New Roman"/>
          <w:noProof/>
          <w:sz w:val="24"/>
          <w:szCs w:val="24"/>
          <w:lang w:val="en-IE" w:eastAsia="zh-CN"/>
        </w:rPr>
        <w:t xml:space="preserve"> are</w:t>
      </w:r>
      <w:r w:rsidR="00FC5A67">
        <w:rPr>
          <w:rFonts w:ascii="Times New Roman" w:eastAsiaTheme="minorEastAsia" w:hAnsi="Times New Roman"/>
          <w:noProof/>
          <w:sz w:val="24"/>
          <w:szCs w:val="24"/>
          <w:lang w:val="en-IE" w:eastAsia="zh-CN"/>
        </w:rPr>
        <w:t xml:space="preserve"> in the process of adopting one. </w:t>
      </w:r>
    </w:p>
    <w:p w14:paraId="655D8907" w14:textId="4B35D709" w:rsidR="00DC75B4" w:rsidRDefault="007B1593" w:rsidP="00DC75B4">
      <w:pPr>
        <w:spacing w:line="276" w:lineRule="auto"/>
        <w:jc w:val="both"/>
        <w:rPr>
          <w:rFonts w:ascii="Times New Roman" w:eastAsiaTheme="minorEastAsia" w:hAnsi="Times New Roman"/>
          <w:noProof/>
          <w:sz w:val="24"/>
          <w:szCs w:val="24"/>
          <w:lang w:eastAsia="zh-CN"/>
        </w:rPr>
      </w:pPr>
      <w:r w:rsidRPr="00FC4D4F">
        <w:rPr>
          <w:rFonts w:ascii="Times New Roman" w:hAnsi="Times New Roman" w:cs="Times New Roman"/>
          <w:noProof/>
          <w:sz w:val="24"/>
          <w:szCs w:val="24"/>
          <w:lang w:eastAsia="zh-CN"/>
        </w:rPr>
        <w:t>In order to respond promptly and effectively to the threats to democracy and citizens’ fundamental rights represented by hate speech and hate crime, in December 2023 the Commission adopted a Communication which sets out a series of actions to combat hatred in all its forms.</w:t>
      </w:r>
      <w:r w:rsidRPr="00E268BA">
        <w:rPr>
          <w:rFonts w:ascii="Times New Roman" w:hAnsi="Times New Roman" w:cs="Times New Roman"/>
          <w:noProof/>
          <w:sz w:val="24"/>
          <w:szCs w:val="24"/>
          <w:lang w:eastAsia="zh-CN"/>
        </w:rPr>
        <w:t xml:space="preserve"> </w:t>
      </w:r>
      <w:r>
        <w:rPr>
          <w:rFonts w:ascii="Times New Roman" w:eastAsiaTheme="minorEastAsia" w:hAnsi="Times New Roman"/>
          <w:noProof/>
          <w:sz w:val="24"/>
          <w:szCs w:val="24"/>
          <w:lang w:eastAsia="zh-CN"/>
        </w:rPr>
        <w:t>A key priority is</w:t>
      </w:r>
      <w:r>
        <w:rPr>
          <w:rFonts w:ascii="Times New Roman" w:eastAsiaTheme="minorEastAsia" w:hAnsi="Times New Roman"/>
          <w:noProof/>
          <w:sz w:val="24"/>
          <w:szCs w:val="24"/>
          <w:lang w:val="en-IE" w:eastAsia="zh-CN"/>
        </w:rPr>
        <w:t xml:space="preserve"> </w:t>
      </w:r>
      <w:r w:rsidR="00DC75B4">
        <w:rPr>
          <w:rFonts w:ascii="Times New Roman" w:eastAsiaTheme="minorEastAsia" w:hAnsi="Times New Roman"/>
          <w:noProof/>
          <w:sz w:val="24"/>
          <w:szCs w:val="24"/>
          <w:lang w:eastAsia="zh-CN"/>
        </w:rPr>
        <w:t>to</w:t>
      </w:r>
      <w:r w:rsidR="00DC75B4" w:rsidRPr="00BD00A9">
        <w:rPr>
          <w:rFonts w:ascii="Times New Roman" w:eastAsiaTheme="minorEastAsia" w:hAnsi="Times New Roman"/>
          <w:noProof/>
          <w:sz w:val="24"/>
          <w:szCs w:val="24"/>
          <w:lang w:eastAsia="zh-CN"/>
        </w:rPr>
        <w:t xml:space="preserve"> ensur</w:t>
      </w:r>
      <w:r w:rsidR="00DC75B4">
        <w:rPr>
          <w:rFonts w:ascii="Times New Roman" w:eastAsiaTheme="minorEastAsia" w:hAnsi="Times New Roman"/>
          <w:noProof/>
          <w:sz w:val="24"/>
          <w:szCs w:val="24"/>
          <w:lang w:eastAsia="zh-CN"/>
        </w:rPr>
        <w:t>e</w:t>
      </w:r>
      <w:r w:rsidR="00DC75B4" w:rsidRPr="00BD00A9">
        <w:rPr>
          <w:rFonts w:ascii="Times New Roman" w:eastAsiaTheme="minorEastAsia" w:hAnsi="Times New Roman"/>
          <w:noProof/>
          <w:sz w:val="24"/>
          <w:szCs w:val="24"/>
          <w:lang w:eastAsia="zh-CN"/>
        </w:rPr>
        <w:t xml:space="preserve"> the effective transposition of the </w:t>
      </w:r>
      <w:r w:rsidR="00DC75B4" w:rsidRPr="00FC4D4F">
        <w:rPr>
          <w:rFonts w:ascii="Times New Roman" w:eastAsiaTheme="minorEastAsia" w:hAnsi="Times New Roman"/>
          <w:b/>
          <w:bCs/>
          <w:noProof/>
          <w:sz w:val="24"/>
          <w:szCs w:val="24"/>
          <w:lang w:eastAsia="zh-CN"/>
        </w:rPr>
        <w:t xml:space="preserve">Framework Decision on </w:t>
      </w:r>
      <w:r w:rsidR="00DC75B4" w:rsidRPr="00ED076C">
        <w:rPr>
          <w:rFonts w:ascii="Times New Roman" w:eastAsiaTheme="minorEastAsia" w:hAnsi="Times New Roman"/>
          <w:b/>
          <w:bCs/>
          <w:noProof/>
          <w:sz w:val="24"/>
          <w:szCs w:val="24"/>
          <w:lang w:eastAsia="zh-CN"/>
        </w:rPr>
        <w:t>combating racism and xenophobia</w:t>
      </w:r>
      <w:r w:rsidR="00DC75B4" w:rsidRPr="00BD00A9">
        <w:rPr>
          <w:rStyle w:val="FootnoteReference"/>
          <w:rFonts w:ascii="Times New Roman" w:eastAsiaTheme="minorEastAsia" w:hAnsi="Times New Roman"/>
          <w:noProof/>
          <w:sz w:val="24"/>
          <w:szCs w:val="24"/>
          <w:lang w:eastAsia="zh-CN"/>
        </w:rPr>
        <w:footnoteReference w:id="51"/>
      </w:r>
      <w:r w:rsidR="00DC75B4">
        <w:rPr>
          <w:rFonts w:ascii="Times New Roman" w:eastAsiaTheme="minorEastAsia" w:hAnsi="Times New Roman"/>
          <w:noProof/>
          <w:sz w:val="24"/>
          <w:szCs w:val="24"/>
          <w:lang w:eastAsia="zh-CN"/>
        </w:rPr>
        <w:t>. The Framework Decision</w:t>
      </w:r>
      <w:r w:rsidR="00DC75B4" w:rsidRPr="00BD00A9">
        <w:rPr>
          <w:rFonts w:ascii="Times New Roman" w:eastAsiaTheme="minorEastAsia" w:hAnsi="Times New Roman"/>
          <w:noProof/>
          <w:sz w:val="24"/>
          <w:szCs w:val="24"/>
          <w:lang w:eastAsia="zh-CN"/>
        </w:rPr>
        <w:t xml:space="preserve"> provides a criminal law response to </w:t>
      </w:r>
      <w:r w:rsidR="00DC75B4">
        <w:rPr>
          <w:rFonts w:ascii="Times New Roman" w:eastAsiaTheme="minorEastAsia" w:hAnsi="Times New Roman"/>
          <w:noProof/>
          <w:sz w:val="24"/>
          <w:szCs w:val="24"/>
          <w:lang w:eastAsia="zh-CN"/>
        </w:rPr>
        <w:t>racist and xenophobic</w:t>
      </w:r>
      <w:r w:rsidR="00DC75B4" w:rsidRPr="00BD00A9">
        <w:rPr>
          <w:rFonts w:ascii="Times New Roman" w:eastAsiaTheme="minorEastAsia" w:hAnsi="Times New Roman"/>
          <w:noProof/>
          <w:sz w:val="24"/>
          <w:szCs w:val="24"/>
          <w:lang w:eastAsia="zh-CN"/>
        </w:rPr>
        <w:t xml:space="preserve"> hate crime and hate speech</w:t>
      </w:r>
      <w:r w:rsidR="00DC75B4">
        <w:rPr>
          <w:rFonts w:ascii="Times New Roman" w:eastAsiaTheme="minorEastAsia" w:hAnsi="Times New Roman"/>
          <w:noProof/>
          <w:sz w:val="24"/>
          <w:szCs w:val="24"/>
          <w:lang w:eastAsia="zh-CN"/>
        </w:rPr>
        <w:t>,</w:t>
      </w:r>
      <w:r w:rsidR="00DC75B4" w:rsidRPr="00BD00A9">
        <w:rPr>
          <w:rFonts w:ascii="Times New Roman" w:eastAsiaTheme="minorEastAsia" w:hAnsi="Times New Roman"/>
          <w:noProof/>
          <w:sz w:val="24"/>
          <w:szCs w:val="24"/>
          <w:lang w:eastAsia="zh-CN"/>
        </w:rPr>
        <w:t xml:space="preserve"> while fully respecting freedom of expression as enshrined in the EU Charter of Fundamental Rights. Since 2020, the Commission has launched 13 infringement proceedings</w:t>
      </w:r>
      <w:r w:rsidR="00DC75B4" w:rsidRPr="00BD00A9">
        <w:rPr>
          <w:noProof/>
        </w:rPr>
        <w:t xml:space="preserve"> </w:t>
      </w:r>
      <w:r w:rsidR="00DC75B4" w:rsidRPr="00BD00A9">
        <w:rPr>
          <w:rFonts w:ascii="Times New Roman" w:eastAsiaTheme="minorEastAsia" w:hAnsi="Times New Roman"/>
          <w:noProof/>
          <w:sz w:val="24"/>
          <w:szCs w:val="24"/>
          <w:lang w:eastAsia="zh-CN"/>
        </w:rPr>
        <w:t xml:space="preserve">where gaps in transposition were detected. In response, several Member States have changed their legislation or are in the process of doing so. </w:t>
      </w:r>
    </w:p>
    <w:p w14:paraId="505EBAF7" w14:textId="77777777" w:rsidR="00DC75B4" w:rsidRDefault="00DC75B4" w:rsidP="00DC75B4">
      <w:pPr>
        <w:spacing w:line="276" w:lineRule="auto"/>
        <w:jc w:val="both"/>
        <w:rPr>
          <w:rFonts w:ascii="Times New Roman" w:eastAsiaTheme="minorEastAsia" w:hAnsi="Times New Roman"/>
          <w:noProof/>
          <w:sz w:val="24"/>
          <w:szCs w:val="24"/>
          <w:lang w:eastAsia="zh-CN"/>
        </w:rPr>
      </w:pPr>
      <w:r w:rsidRPr="1E870849">
        <w:rPr>
          <w:rFonts w:ascii="Times New Roman" w:eastAsiaTheme="minorEastAsia" w:hAnsi="Times New Roman"/>
          <w:noProof/>
          <w:sz w:val="24"/>
          <w:szCs w:val="24"/>
          <w:lang w:eastAsia="zh-CN"/>
        </w:rPr>
        <w:t xml:space="preserve">Moreover, in December 2021, the Commission adopted a Communication to extend the list of ‘EU crimes’ laid down in Article 83(1) of the TFEU to include </w:t>
      </w:r>
      <w:r w:rsidRPr="1E870849">
        <w:rPr>
          <w:rFonts w:ascii="Times New Roman" w:eastAsiaTheme="minorEastAsia" w:hAnsi="Times New Roman"/>
          <w:b/>
          <w:bCs/>
          <w:noProof/>
          <w:sz w:val="24"/>
          <w:szCs w:val="24"/>
          <w:lang w:eastAsia="zh-CN"/>
        </w:rPr>
        <w:t>hate crime and hate speech</w:t>
      </w:r>
      <w:r w:rsidRPr="00BD00A9">
        <w:rPr>
          <w:rStyle w:val="FootnoteReference"/>
          <w:rFonts w:ascii="Times New Roman" w:eastAsiaTheme="minorEastAsia" w:hAnsi="Times New Roman"/>
          <w:noProof/>
          <w:sz w:val="24"/>
          <w:szCs w:val="24"/>
          <w:lang w:eastAsia="zh-CN"/>
        </w:rPr>
        <w:footnoteReference w:id="52"/>
      </w:r>
      <w:r w:rsidRPr="1E870849">
        <w:rPr>
          <w:rFonts w:ascii="Times New Roman" w:eastAsiaTheme="minorEastAsia" w:hAnsi="Times New Roman"/>
          <w:noProof/>
          <w:sz w:val="24"/>
          <w:szCs w:val="24"/>
          <w:lang w:eastAsia="zh-CN"/>
        </w:rPr>
        <w:t>. The current EU legislation only requires the criminalisation of racist and xenophobic hate speech and hate crime on certain grounds, such as race, colour, religion, descent or national or ethnic origin. The criminalisation of other forms of hate speech and hate crime – for example on grounds of disability, sex or sexual orientation – varies across the Member States. A Council decision to extend the list of ‘EU crimes’ would enable the Commission to propose, in the future, minimum rules to criminalise hate speech and hate crime on more grounds.</w:t>
      </w:r>
    </w:p>
    <w:p w14:paraId="7E1D9156" w14:textId="758AE105" w:rsidR="00DB0862" w:rsidRDefault="00DC75B4" w:rsidP="00FC4D4F">
      <w:pPr>
        <w:spacing w:line="276" w:lineRule="auto"/>
        <w:jc w:val="both"/>
        <w:rPr>
          <w:rFonts w:ascii="Times New Roman" w:hAnsi="Times New Roman" w:cs="Times New Roman"/>
          <w:noProof/>
          <w:sz w:val="24"/>
          <w:szCs w:val="24"/>
        </w:rPr>
      </w:pPr>
      <w:r>
        <w:rPr>
          <w:rFonts w:ascii="Times New Roman" w:eastAsiaTheme="minorEastAsia" w:hAnsi="Times New Roman"/>
          <w:noProof/>
          <w:sz w:val="24"/>
          <w:szCs w:val="24"/>
          <w:lang w:eastAsia="zh-CN"/>
        </w:rPr>
        <w:t xml:space="preserve">To enhance the response against illegal hate speech online, </w:t>
      </w:r>
      <w:r w:rsidR="00DB0862">
        <w:rPr>
          <w:rFonts w:ascii="Times New Roman" w:hAnsi="Times New Roman" w:cs="Times New Roman"/>
          <w:noProof/>
          <w:sz w:val="24"/>
          <w:szCs w:val="24"/>
          <w:lang w:val="en-GB"/>
        </w:rPr>
        <w:t>since end of August 2023</w:t>
      </w:r>
      <w:r w:rsidR="00DB0862">
        <w:rPr>
          <w:rFonts w:ascii="Times New Roman" w:hAnsi="Times New Roman" w:cs="Times New Roman"/>
          <w:noProof/>
          <w:sz w:val="24"/>
          <w:szCs w:val="24"/>
        </w:rPr>
        <w:t>, under the new Digital Services Act</w:t>
      </w:r>
      <w:r w:rsidR="00DB0862">
        <w:rPr>
          <w:rFonts w:ascii="Times New Roman" w:hAnsi="Times New Roman" w:cs="Times New Roman"/>
          <w:noProof/>
          <w:sz w:val="24"/>
          <w:szCs w:val="24"/>
          <w:lang w:val="en-GB"/>
        </w:rPr>
        <w:t xml:space="preserve"> (DSA)</w:t>
      </w:r>
      <w:r w:rsidR="00DB0862">
        <w:rPr>
          <w:rFonts w:ascii="Times New Roman" w:hAnsi="Times New Roman" w:cs="Times New Roman"/>
          <w:noProof/>
          <w:sz w:val="24"/>
          <w:szCs w:val="24"/>
        </w:rPr>
        <w:t xml:space="preserve">, the Commission has made use of its supervisory powers to tackle hate speech and terrorist and violent content on a number of designated Very Large Online Platforms, notably X, TikTok, Instagram and YouTube. The </w:t>
      </w:r>
      <w:r w:rsidR="00DB0862">
        <w:rPr>
          <w:rFonts w:ascii="Times New Roman" w:hAnsi="Times New Roman" w:cs="Times New Roman"/>
          <w:noProof/>
          <w:sz w:val="24"/>
          <w:szCs w:val="24"/>
          <w:lang w:val="en-GB"/>
        </w:rPr>
        <w:t>DSA</w:t>
      </w:r>
      <w:r w:rsidR="00DB0862">
        <w:rPr>
          <w:rFonts w:ascii="Times New Roman" w:hAnsi="Times New Roman" w:cs="Times New Roman"/>
          <w:noProof/>
          <w:sz w:val="24"/>
          <w:szCs w:val="24"/>
        </w:rPr>
        <w:t xml:space="preserve"> </w:t>
      </w:r>
      <w:r w:rsidR="00DB0862" w:rsidRPr="003A42AD">
        <w:rPr>
          <w:rFonts w:ascii="Times New Roman" w:hAnsi="Times New Roman" w:cs="Times New Roman"/>
          <w:noProof/>
          <w:sz w:val="24"/>
          <w:szCs w:val="24"/>
        </w:rPr>
        <w:t>is a cornerstone of the EU's digital strategy and sets out an unprecedented new standard for the accountability of online platforms regarding disinformation, illegal content, such as illegal hate speech, and other societal risks. It includes overarching principles and robust guarantees for freedom of expression and other users' rights.</w:t>
      </w:r>
      <w:r w:rsidR="005D6595">
        <w:rPr>
          <w:rFonts w:ascii="Times New Roman" w:hAnsi="Times New Roman" w:cs="Times New Roman"/>
          <w:noProof/>
          <w:sz w:val="24"/>
          <w:szCs w:val="24"/>
        </w:rPr>
        <w:t xml:space="preserve"> </w:t>
      </w:r>
      <w:r w:rsidR="005D6595" w:rsidRPr="005D6595">
        <w:rPr>
          <w:rFonts w:ascii="Times New Roman" w:hAnsi="Times New Roman" w:cs="Times New Roman"/>
          <w:noProof/>
          <w:sz w:val="24"/>
          <w:szCs w:val="24"/>
        </w:rPr>
        <w:t>In addition, the Regulation on addressing the dissemination of terrorist content online complements the DSA by addressing the misuse of hosting services for the dissemination to the public of such content.</w:t>
      </w:r>
    </w:p>
    <w:p w14:paraId="35FBCF98" w14:textId="1B8D4477" w:rsidR="00DC75B4" w:rsidRPr="00373866" w:rsidRDefault="00DB0862" w:rsidP="00FC4D4F">
      <w:pPr>
        <w:spacing w:line="276" w:lineRule="auto"/>
        <w:jc w:val="both"/>
        <w:rPr>
          <w:noProof/>
          <w:lang w:val="en-GB" w:eastAsia="zh-CN"/>
        </w:rPr>
      </w:pPr>
      <w:r>
        <w:rPr>
          <w:rFonts w:ascii="Times New Roman" w:eastAsiaTheme="minorEastAsia" w:hAnsi="Times New Roman"/>
          <w:noProof/>
          <w:sz w:val="24"/>
          <w:szCs w:val="24"/>
          <w:lang w:eastAsia="zh-CN"/>
        </w:rPr>
        <w:t>T</w:t>
      </w:r>
      <w:r w:rsidR="00DC75B4">
        <w:rPr>
          <w:rFonts w:ascii="Times New Roman" w:eastAsiaTheme="minorEastAsia" w:hAnsi="Times New Roman"/>
          <w:noProof/>
          <w:sz w:val="24"/>
          <w:szCs w:val="24"/>
          <w:lang w:eastAsia="zh-CN"/>
        </w:rPr>
        <w:t>he Commission is also negotiating a revision of the 2016 Code of conduct on countering illegal hate speech online</w:t>
      </w:r>
      <w:r w:rsidR="00DC75B4">
        <w:rPr>
          <w:rStyle w:val="FootnoteReference"/>
          <w:rFonts w:ascii="Times New Roman" w:eastAsiaTheme="minorEastAsia" w:hAnsi="Times New Roman"/>
          <w:noProof/>
          <w:sz w:val="24"/>
          <w:szCs w:val="24"/>
          <w:lang w:eastAsia="zh-CN"/>
        </w:rPr>
        <w:footnoteReference w:id="53"/>
      </w:r>
      <w:r w:rsidR="00DC75B4">
        <w:rPr>
          <w:rFonts w:ascii="Times New Roman" w:eastAsiaTheme="minorEastAsia" w:hAnsi="Times New Roman"/>
          <w:noProof/>
          <w:sz w:val="24"/>
          <w:szCs w:val="24"/>
          <w:lang w:eastAsia="zh-CN"/>
        </w:rPr>
        <w:t xml:space="preserve"> with the online platforms. </w:t>
      </w:r>
      <w:r w:rsidR="00DC75B4">
        <w:rPr>
          <w:rFonts w:ascii="Times New Roman" w:hAnsi="Times New Roman" w:cs="Times New Roman"/>
          <w:noProof/>
          <w:sz w:val="24"/>
          <w:szCs w:val="24"/>
        </w:rPr>
        <w:t>T</w:t>
      </w:r>
      <w:r w:rsidR="00DC75B4" w:rsidRPr="00286D63">
        <w:rPr>
          <w:rFonts w:ascii="Times New Roman" w:hAnsi="Times New Roman" w:cs="Times New Roman"/>
          <w:noProof/>
          <w:sz w:val="24"/>
          <w:szCs w:val="24"/>
        </w:rPr>
        <w:t xml:space="preserve">he </w:t>
      </w:r>
      <w:r w:rsidR="00DC75B4">
        <w:rPr>
          <w:rFonts w:ascii="Times New Roman" w:hAnsi="Times New Roman" w:cs="Times New Roman"/>
          <w:noProof/>
          <w:sz w:val="24"/>
          <w:szCs w:val="24"/>
        </w:rPr>
        <w:t xml:space="preserve">main objective of revision of the </w:t>
      </w:r>
      <w:r w:rsidR="00DC75B4" w:rsidRPr="00286D63">
        <w:rPr>
          <w:rFonts w:ascii="Times New Roman" w:hAnsi="Times New Roman" w:cs="Times New Roman"/>
          <w:noProof/>
          <w:sz w:val="24"/>
          <w:szCs w:val="24"/>
        </w:rPr>
        <w:t>Code</w:t>
      </w:r>
      <w:r w:rsidR="00DC75B4">
        <w:rPr>
          <w:rFonts w:ascii="Times New Roman" w:hAnsi="Times New Roman" w:cs="Times New Roman"/>
          <w:noProof/>
          <w:sz w:val="24"/>
          <w:szCs w:val="24"/>
        </w:rPr>
        <w:t xml:space="preserve"> is to </w:t>
      </w:r>
      <w:r w:rsidR="00DC75B4" w:rsidRPr="00286D63">
        <w:rPr>
          <w:rFonts w:ascii="Times New Roman" w:hAnsi="Times New Roman" w:cs="Times New Roman"/>
          <w:noProof/>
          <w:sz w:val="24"/>
          <w:szCs w:val="24"/>
        </w:rPr>
        <w:t>transfor</w:t>
      </w:r>
      <w:r w:rsidR="00DC75B4">
        <w:rPr>
          <w:rFonts w:ascii="Times New Roman" w:hAnsi="Times New Roman" w:cs="Times New Roman"/>
          <w:noProof/>
          <w:sz w:val="24"/>
          <w:szCs w:val="24"/>
        </w:rPr>
        <w:t>m it</w:t>
      </w:r>
      <w:r w:rsidR="00DC75B4" w:rsidRPr="00286D63">
        <w:rPr>
          <w:rFonts w:ascii="Times New Roman" w:hAnsi="Times New Roman" w:cs="Times New Roman"/>
          <w:noProof/>
          <w:sz w:val="24"/>
          <w:szCs w:val="24"/>
        </w:rPr>
        <w:t xml:space="preserve"> from a</w:t>
      </w:r>
      <w:r w:rsidR="00DC75B4">
        <w:rPr>
          <w:rFonts w:ascii="Times New Roman" w:hAnsi="Times New Roman" w:cs="Times New Roman"/>
          <w:noProof/>
          <w:sz w:val="24"/>
          <w:szCs w:val="24"/>
        </w:rPr>
        <w:t xml:space="preserve"> solely</w:t>
      </w:r>
      <w:r w:rsidR="00DC75B4" w:rsidRPr="00286D63">
        <w:rPr>
          <w:rFonts w:ascii="Times New Roman" w:hAnsi="Times New Roman" w:cs="Times New Roman"/>
          <w:noProof/>
          <w:sz w:val="24"/>
          <w:szCs w:val="24"/>
        </w:rPr>
        <w:t xml:space="preserve"> reactive tool, measuring companies’ response to existing hate speech, to a prevention tool that</w:t>
      </w:r>
      <w:r w:rsidR="00DC75B4">
        <w:rPr>
          <w:rFonts w:ascii="Times New Roman" w:hAnsi="Times New Roman" w:cs="Times New Roman"/>
          <w:noProof/>
          <w:sz w:val="24"/>
          <w:szCs w:val="24"/>
        </w:rPr>
        <w:t>,</w:t>
      </w:r>
      <w:r w:rsidR="00DC75B4" w:rsidRPr="00286D63">
        <w:rPr>
          <w:rFonts w:ascii="Times New Roman" w:hAnsi="Times New Roman" w:cs="Times New Roman"/>
          <w:noProof/>
          <w:sz w:val="24"/>
          <w:szCs w:val="24"/>
        </w:rPr>
        <w:t xml:space="preserve"> together with civil society</w:t>
      </w:r>
      <w:r w:rsidR="00DC75B4">
        <w:rPr>
          <w:rFonts w:ascii="Times New Roman" w:hAnsi="Times New Roman" w:cs="Times New Roman"/>
          <w:noProof/>
          <w:sz w:val="24"/>
          <w:szCs w:val="24"/>
        </w:rPr>
        <w:t xml:space="preserve"> organisations</w:t>
      </w:r>
      <w:r w:rsidR="00DC75B4" w:rsidRPr="00286D63">
        <w:rPr>
          <w:rFonts w:ascii="Times New Roman" w:hAnsi="Times New Roman" w:cs="Times New Roman"/>
          <w:noProof/>
          <w:sz w:val="24"/>
          <w:szCs w:val="24"/>
        </w:rPr>
        <w:t xml:space="preserve"> and experts</w:t>
      </w:r>
      <w:r w:rsidR="00DC75B4">
        <w:rPr>
          <w:rFonts w:ascii="Times New Roman" w:hAnsi="Times New Roman" w:cs="Times New Roman"/>
          <w:noProof/>
          <w:sz w:val="24"/>
          <w:szCs w:val="24"/>
        </w:rPr>
        <w:t xml:space="preserve">, </w:t>
      </w:r>
      <w:r w:rsidR="00DC75B4" w:rsidRPr="00286D63">
        <w:rPr>
          <w:rFonts w:ascii="Times New Roman" w:hAnsi="Times New Roman" w:cs="Times New Roman"/>
          <w:noProof/>
          <w:sz w:val="24"/>
          <w:szCs w:val="24"/>
        </w:rPr>
        <w:t>can help</w:t>
      </w:r>
      <w:r w:rsidR="00DC75B4">
        <w:rPr>
          <w:rFonts w:ascii="Times New Roman" w:hAnsi="Times New Roman" w:cs="Times New Roman"/>
          <w:noProof/>
          <w:sz w:val="24"/>
          <w:szCs w:val="24"/>
        </w:rPr>
        <w:t xml:space="preserve"> to</w:t>
      </w:r>
      <w:r w:rsidR="00DC75B4" w:rsidRPr="00286D63">
        <w:rPr>
          <w:rFonts w:ascii="Times New Roman" w:hAnsi="Times New Roman" w:cs="Times New Roman"/>
          <w:noProof/>
          <w:sz w:val="24"/>
          <w:szCs w:val="24"/>
        </w:rPr>
        <w:t xml:space="preserve"> anticipate threats of waves of hate speech before content has gone viral</w:t>
      </w:r>
      <w:r w:rsidR="00DC75B4">
        <w:rPr>
          <w:rFonts w:ascii="Times New Roman" w:hAnsi="Times New Roman" w:cs="Times New Roman"/>
          <w:noProof/>
          <w:sz w:val="24"/>
          <w:szCs w:val="24"/>
        </w:rPr>
        <w:t>.</w:t>
      </w:r>
    </w:p>
    <w:p w14:paraId="2AB3E785" w14:textId="4E02BB85" w:rsidR="003349B7" w:rsidRPr="00BD00A9" w:rsidRDefault="003349B7" w:rsidP="003349B7">
      <w:pPr>
        <w:spacing w:after="240" w:line="276" w:lineRule="auto"/>
        <w:jc w:val="both"/>
        <w:rPr>
          <w:rFonts w:ascii="Times New Roman" w:eastAsiaTheme="minorEastAsia" w:hAnsi="Times New Roman"/>
          <w:noProof/>
          <w:sz w:val="24"/>
          <w:szCs w:val="24"/>
          <w:lang w:eastAsia="zh-CN"/>
        </w:rPr>
      </w:pPr>
      <w:r w:rsidRPr="00BD00A9">
        <w:rPr>
          <w:rFonts w:ascii="Times New Roman" w:eastAsiaTheme="minorEastAsia" w:hAnsi="Times New Roman"/>
          <w:noProof/>
          <w:sz w:val="24"/>
          <w:szCs w:val="24"/>
          <w:lang w:eastAsia="zh-CN"/>
        </w:rPr>
        <w:t xml:space="preserve">The Commission also continued to implement the 2020-2030 </w:t>
      </w:r>
      <w:r w:rsidRPr="00BD00A9">
        <w:rPr>
          <w:rFonts w:ascii="Times New Roman" w:eastAsiaTheme="minorEastAsia" w:hAnsi="Times New Roman"/>
          <w:b/>
          <w:bCs/>
          <w:noProof/>
          <w:sz w:val="24"/>
          <w:szCs w:val="24"/>
          <w:lang w:eastAsia="zh-CN"/>
        </w:rPr>
        <w:t>EU Roma Strategic Framework</w:t>
      </w:r>
      <w:r w:rsidRPr="00BD00A9">
        <w:rPr>
          <w:rFonts w:ascii="Times New Roman" w:eastAsiaTheme="minorEastAsia" w:hAnsi="Times New Roman"/>
          <w:noProof/>
          <w:sz w:val="24"/>
          <w:szCs w:val="24"/>
          <w:lang w:eastAsia="zh-CN"/>
        </w:rPr>
        <w:t xml:space="preserve"> for Equality, Inclusion and Participation</w:t>
      </w:r>
      <w:r w:rsidRPr="00BD00A9">
        <w:rPr>
          <w:rStyle w:val="FootnoteReference"/>
          <w:rFonts w:ascii="Times New Roman" w:eastAsiaTheme="minorEastAsia" w:hAnsi="Times New Roman"/>
          <w:noProof/>
          <w:sz w:val="24"/>
          <w:szCs w:val="24"/>
          <w:lang w:eastAsia="zh-CN"/>
        </w:rPr>
        <w:footnoteReference w:id="54"/>
      </w:r>
      <w:r w:rsidRPr="00BD00A9">
        <w:rPr>
          <w:rFonts w:ascii="Times New Roman" w:eastAsiaTheme="minorEastAsia" w:hAnsi="Times New Roman"/>
          <w:noProof/>
          <w:sz w:val="24"/>
          <w:szCs w:val="24"/>
          <w:lang w:eastAsia="zh-CN"/>
        </w:rPr>
        <w:t>, which is one of the first deliverables of the EU Anti-racism Action Plan.</w:t>
      </w:r>
      <w:r w:rsidR="00373866">
        <w:rPr>
          <w:rFonts w:ascii="Times New Roman" w:eastAsiaTheme="minorEastAsia" w:hAnsi="Times New Roman"/>
          <w:noProof/>
          <w:sz w:val="24"/>
          <w:szCs w:val="24"/>
          <w:lang w:eastAsia="zh-CN"/>
        </w:rPr>
        <w:t xml:space="preserve"> </w:t>
      </w:r>
      <w:r w:rsidRPr="00BD00A9">
        <w:rPr>
          <w:rFonts w:ascii="Times New Roman" w:eastAsiaTheme="minorEastAsia" w:hAnsi="Times New Roman"/>
          <w:noProof/>
          <w:sz w:val="24"/>
          <w:szCs w:val="24"/>
          <w:lang w:eastAsia="zh-CN"/>
        </w:rPr>
        <w:t>In January 2023, the Commission adopted a Communication assessing Member States’ national Roma strategic frameworks</w:t>
      </w:r>
      <w:r w:rsidRPr="00BD00A9">
        <w:rPr>
          <w:rStyle w:val="FootnoteReference"/>
          <w:rFonts w:ascii="Times New Roman" w:eastAsiaTheme="minorEastAsia" w:hAnsi="Times New Roman"/>
          <w:noProof/>
          <w:sz w:val="24"/>
          <w:szCs w:val="24"/>
          <w:lang w:eastAsia="zh-CN"/>
        </w:rPr>
        <w:footnoteReference w:id="55"/>
      </w:r>
      <w:r w:rsidRPr="00BD00A9">
        <w:rPr>
          <w:rFonts w:ascii="Times New Roman" w:eastAsiaTheme="minorEastAsia" w:hAnsi="Times New Roman"/>
          <w:noProof/>
          <w:sz w:val="24"/>
          <w:szCs w:val="24"/>
          <w:lang w:eastAsia="zh-CN"/>
        </w:rPr>
        <w:t>. In the Communication, it strongly encouraged Member States to increase their level of ambition in addressing the challenges confronting Roma</w:t>
      </w:r>
      <w:r w:rsidR="00373866">
        <w:rPr>
          <w:rStyle w:val="FootnoteReference"/>
          <w:rFonts w:ascii="Times New Roman" w:eastAsiaTheme="minorEastAsia" w:hAnsi="Times New Roman"/>
          <w:noProof/>
          <w:sz w:val="24"/>
          <w:szCs w:val="24"/>
          <w:lang w:eastAsia="zh-CN"/>
        </w:rPr>
        <w:footnoteReference w:id="56"/>
      </w:r>
      <w:r w:rsidRPr="00BD00A9">
        <w:rPr>
          <w:rFonts w:ascii="Times New Roman" w:eastAsiaTheme="minorEastAsia" w:hAnsi="Times New Roman"/>
          <w:noProof/>
          <w:sz w:val="24"/>
          <w:szCs w:val="24"/>
          <w:lang w:eastAsia="zh-CN"/>
        </w:rPr>
        <w:t xml:space="preserve">. </w:t>
      </w:r>
    </w:p>
    <w:p w14:paraId="52C5A7FE" w14:textId="273B2BD3" w:rsidR="003349B7" w:rsidRPr="00BD00A9" w:rsidRDefault="003349B7" w:rsidP="003349B7">
      <w:pPr>
        <w:spacing w:after="240" w:line="276" w:lineRule="auto"/>
        <w:jc w:val="both"/>
        <w:rPr>
          <w:rFonts w:ascii="Times New Roman" w:eastAsiaTheme="minorEastAsia" w:hAnsi="Times New Roman"/>
          <w:noProof/>
          <w:sz w:val="24"/>
          <w:szCs w:val="24"/>
          <w:lang w:val="en-IE" w:eastAsia="zh-CN"/>
        </w:rPr>
      </w:pPr>
      <w:r w:rsidRPr="00BD00A9">
        <w:rPr>
          <w:rFonts w:ascii="Times New Roman" w:eastAsiaTheme="minorEastAsia" w:hAnsi="Times New Roman"/>
          <w:noProof/>
          <w:sz w:val="24"/>
          <w:szCs w:val="24"/>
          <w:lang w:val="en-IE" w:eastAsia="zh-CN"/>
        </w:rPr>
        <w:t xml:space="preserve">The Commission made progress on implementing the first ever EU </w:t>
      </w:r>
      <w:r w:rsidRPr="00BD00A9">
        <w:rPr>
          <w:rFonts w:ascii="Times New Roman" w:eastAsiaTheme="minorEastAsia" w:hAnsi="Times New Roman"/>
          <w:b/>
          <w:bCs/>
          <w:noProof/>
          <w:sz w:val="24"/>
          <w:szCs w:val="24"/>
          <w:lang w:val="en-IE" w:eastAsia="zh-CN"/>
        </w:rPr>
        <w:t xml:space="preserve">Strategy on Combating Antisemitism </w:t>
      </w:r>
      <w:r w:rsidRPr="00BD00A9">
        <w:rPr>
          <w:rFonts w:ascii="Times New Roman" w:eastAsiaTheme="minorEastAsia" w:hAnsi="Times New Roman"/>
          <w:noProof/>
          <w:sz w:val="24"/>
          <w:szCs w:val="24"/>
          <w:lang w:val="en-IE" w:eastAsia="zh-CN"/>
        </w:rPr>
        <w:t>and Fostering Jewish Life 2021–2030</w:t>
      </w:r>
      <w:r w:rsidRPr="00BD00A9">
        <w:rPr>
          <w:rStyle w:val="FootnoteReference"/>
          <w:rFonts w:ascii="Times New Roman" w:eastAsiaTheme="minorEastAsia" w:hAnsi="Times New Roman"/>
          <w:noProof/>
          <w:sz w:val="24"/>
          <w:szCs w:val="24"/>
          <w:lang w:val="en-IE" w:eastAsia="zh-CN"/>
        </w:rPr>
        <w:footnoteReference w:id="57"/>
      </w:r>
      <w:r w:rsidRPr="00BD00A9">
        <w:rPr>
          <w:rFonts w:ascii="Times New Roman" w:eastAsiaTheme="minorEastAsia" w:hAnsi="Times New Roman"/>
          <w:noProof/>
          <w:sz w:val="24"/>
          <w:szCs w:val="24"/>
          <w:lang w:val="en-IE" w:eastAsia="zh-CN"/>
        </w:rPr>
        <w:t>. Of the almost 100 measures, 70 have been implemented or set in motion over the past 2 years. Importantly, 1</w:t>
      </w:r>
      <w:r w:rsidR="00DC75B4">
        <w:rPr>
          <w:rFonts w:ascii="Times New Roman" w:eastAsiaTheme="minorEastAsia" w:hAnsi="Times New Roman"/>
          <w:noProof/>
          <w:sz w:val="24"/>
          <w:szCs w:val="24"/>
          <w:lang w:val="en-IE" w:eastAsia="zh-CN"/>
        </w:rPr>
        <w:t>2</w:t>
      </w:r>
      <w:r w:rsidRPr="00BD00A9">
        <w:rPr>
          <w:rFonts w:ascii="Times New Roman" w:eastAsiaTheme="minorEastAsia" w:hAnsi="Times New Roman"/>
          <w:noProof/>
          <w:sz w:val="24"/>
          <w:szCs w:val="24"/>
          <w:lang w:val="en-IE" w:eastAsia="zh-CN"/>
        </w:rPr>
        <w:t xml:space="preserve"> EU Member States have adopted national strategies against antisemitism and s</w:t>
      </w:r>
      <w:r w:rsidR="00DC75B4">
        <w:rPr>
          <w:rFonts w:ascii="Times New Roman" w:eastAsiaTheme="minorEastAsia" w:hAnsi="Times New Roman"/>
          <w:noProof/>
          <w:sz w:val="24"/>
          <w:szCs w:val="24"/>
          <w:lang w:val="en-IE" w:eastAsia="zh-CN"/>
        </w:rPr>
        <w:t>even</w:t>
      </w:r>
      <w:r w:rsidRPr="00BD00A9">
        <w:rPr>
          <w:rFonts w:ascii="Times New Roman" w:eastAsiaTheme="minorEastAsia" w:hAnsi="Times New Roman"/>
          <w:noProof/>
          <w:sz w:val="24"/>
          <w:szCs w:val="24"/>
          <w:lang w:val="en-IE" w:eastAsia="zh-CN"/>
        </w:rPr>
        <w:t xml:space="preserve"> have included specific measures against antisemitism in general anti-racism strategies. The Council adopted conclusions on combating racism and antisemitism in March 2022 and invited Member States to develop national strategies against antisemitism by the end of 2022</w:t>
      </w:r>
      <w:r w:rsidRPr="00BD00A9">
        <w:rPr>
          <w:rStyle w:val="FootnoteReference"/>
          <w:rFonts w:ascii="Times New Roman" w:eastAsiaTheme="minorEastAsia" w:hAnsi="Times New Roman"/>
          <w:noProof/>
          <w:sz w:val="24"/>
          <w:szCs w:val="24"/>
          <w:lang w:val="en-IE" w:eastAsia="zh-CN"/>
        </w:rPr>
        <w:footnoteReference w:id="58"/>
      </w:r>
      <w:r w:rsidRPr="00BD00A9">
        <w:rPr>
          <w:rFonts w:ascii="Times New Roman" w:eastAsiaTheme="minorEastAsia" w:hAnsi="Times New Roman"/>
          <w:noProof/>
          <w:sz w:val="24"/>
          <w:szCs w:val="24"/>
          <w:lang w:val="en-IE" w:eastAsia="zh-CN"/>
        </w:rPr>
        <w:t xml:space="preserve">. </w:t>
      </w:r>
    </w:p>
    <w:p w14:paraId="03CA8A7A" w14:textId="0C5334BF" w:rsidR="003349B7" w:rsidRPr="00BD00A9" w:rsidRDefault="003349B7" w:rsidP="003349B7">
      <w:pPr>
        <w:spacing w:after="240" w:line="276" w:lineRule="auto"/>
        <w:jc w:val="both"/>
        <w:rPr>
          <w:rFonts w:ascii="Times New Roman" w:eastAsiaTheme="minorEastAsia" w:hAnsi="Times New Roman"/>
          <w:noProof/>
          <w:sz w:val="24"/>
          <w:szCs w:val="24"/>
          <w:lang w:val="en-IE" w:eastAsia="zh-CN"/>
        </w:rPr>
      </w:pPr>
      <w:bookmarkStart w:id="37" w:name="_Hlk151716933"/>
      <w:r w:rsidRPr="00BD00A9">
        <w:rPr>
          <w:rFonts w:ascii="Times New Roman" w:eastAsiaTheme="minorEastAsia" w:hAnsi="Times New Roman"/>
          <w:noProof/>
          <w:sz w:val="24"/>
          <w:szCs w:val="24"/>
          <w:lang w:val="en-IE" w:eastAsia="zh-CN"/>
        </w:rPr>
        <w:t xml:space="preserve">In 2023, the Commission also appointed a </w:t>
      </w:r>
      <w:r w:rsidR="00E3522A" w:rsidRPr="00FC4D4F">
        <w:rPr>
          <w:rFonts w:ascii="Times New Roman" w:eastAsiaTheme="minorEastAsia" w:hAnsi="Times New Roman"/>
          <w:noProof/>
          <w:sz w:val="24"/>
          <w:szCs w:val="24"/>
          <w:lang w:val="en-IE" w:eastAsia="zh-CN"/>
        </w:rPr>
        <w:t>new</w:t>
      </w:r>
      <w:r w:rsidR="00E3522A">
        <w:rPr>
          <w:rFonts w:ascii="Times New Roman" w:eastAsiaTheme="minorEastAsia" w:hAnsi="Times New Roman"/>
          <w:noProof/>
          <w:sz w:val="24"/>
          <w:szCs w:val="24"/>
          <w:lang w:val="en-IE" w:eastAsia="zh-CN"/>
        </w:rPr>
        <w:t xml:space="preserve"> </w:t>
      </w:r>
      <w:r w:rsidRPr="00BD00A9">
        <w:rPr>
          <w:rFonts w:ascii="Times New Roman" w:eastAsiaTheme="minorEastAsia" w:hAnsi="Times New Roman"/>
          <w:noProof/>
          <w:sz w:val="24"/>
          <w:szCs w:val="24"/>
          <w:lang w:val="en-IE" w:eastAsia="zh-CN"/>
        </w:rPr>
        <w:t xml:space="preserve">Coordinator on </w:t>
      </w:r>
      <w:r w:rsidRPr="00BD00A9">
        <w:rPr>
          <w:rFonts w:ascii="Times New Roman" w:eastAsiaTheme="minorEastAsia" w:hAnsi="Times New Roman"/>
          <w:b/>
          <w:bCs/>
          <w:noProof/>
          <w:sz w:val="24"/>
          <w:szCs w:val="24"/>
          <w:lang w:val="en-IE" w:eastAsia="zh-CN"/>
        </w:rPr>
        <w:t>combating</w:t>
      </w:r>
      <w:r w:rsidRPr="00BD00A9">
        <w:rPr>
          <w:rFonts w:ascii="Times New Roman" w:eastAsiaTheme="minorEastAsia" w:hAnsi="Times New Roman"/>
          <w:noProof/>
          <w:sz w:val="24"/>
          <w:szCs w:val="24"/>
          <w:lang w:val="en-IE" w:eastAsia="zh-CN"/>
        </w:rPr>
        <w:t xml:space="preserve"> </w:t>
      </w:r>
      <w:r w:rsidRPr="00BD00A9">
        <w:rPr>
          <w:rFonts w:ascii="Times New Roman" w:eastAsiaTheme="minorEastAsia" w:hAnsi="Times New Roman"/>
          <w:b/>
          <w:bCs/>
          <w:noProof/>
          <w:sz w:val="24"/>
          <w:szCs w:val="24"/>
          <w:lang w:val="en-IE" w:eastAsia="zh-CN"/>
        </w:rPr>
        <w:t>anti-Muslim hatred</w:t>
      </w:r>
      <w:bookmarkEnd w:id="37"/>
      <w:r w:rsidRPr="00BD00A9">
        <w:rPr>
          <w:rFonts w:ascii="Times New Roman" w:eastAsiaTheme="minorEastAsia" w:hAnsi="Times New Roman"/>
          <w:noProof/>
          <w:sz w:val="24"/>
          <w:szCs w:val="24"/>
          <w:lang w:val="en-IE" w:eastAsia="zh-CN"/>
        </w:rPr>
        <w:t xml:space="preserve">. The Coordinator works with Member States, European institutions, civil society and academia to strengthen policy responses in the field of anti-Muslim hatred. </w:t>
      </w:r>
      <w:r w:rsidRPr="00BD00A9">
        <w:rPr>
          <w:rFonts w:ascii="Times New Roman" w:eastAsiaTheme="minorEastAsia" w:hAnsi="Times New Roman" w:cs="Times New Roman"/>
          <w:noProof/>
          <w:sz w:val="24"/>
          <w:szCs w:val="24"/>
          <w:lang w:val="en-IE" w:eastAsia="zh-CN"/>
        </w:rPr>
        <w:t xml:space="preserve">The Coordinator is the main point of contact for organisations working in this field in the EU. </w:t>
      </w:r>
    </w:p>
    <w:p w14:paraId="3494AD4C" w14:textId="77777777" w:rsidR="00E22BB5" w:rsidRDefault="003C1BAC" w:rsidP="003C1BAC">
      <w:pPr>
        <w:spacing w:after="240" w:line="276" w:lineRule="auto"/>
        <w:jc w:val="both"/>
        <w:rPr>
          <w:rFonts w:ascii="Times New Roman" w:eastAsiaTheme="minorEastAsia" w:hAnsi="Times New Roman"/>
          <w:noProof/>
          <w:sz w:val="24"/>
          <w:szCs w:val="24"/>
          <w:lang w:val="en-IE" w:eastAsia="zh-CN"/>
        </w:rPr>
      </w:pPr>
      <w:r w:rsidRPr="00BD00A9">
        <w:rPr>
          <w:rFonts w:ascii="Times New Roman" w:eastAsiaTheme="minorEastAsia" w:hAnsi="Times New Roman"/>
          <w:noProof/>
          <w:sz w:val="24"/>
          <w:szCs w:val="24"/>
          <w:lang w:val="en-IE" w:eastAsia="zh-CN"/>
        </w:rPr>
        <w:t xml:space="preserve">The Commission also continued to make progress on the </w:t>
      </w:r>
      <w:r w:rsidRPr="00BD00A9">
        <w:rPr>
          <w:rFonts w:ascii="Times New Roman" w:eastAsiaTheme="minorEastAsia" w:hAnsi="Times New Roman"/>
          <w:b/>
          <w:bCs/>
          <w:noProof/>
          <w:sz w:val="24"/>
          <w:szCs w:val="24"/>
          <w:lang w:val="en-IE" w:eastAsia="zh-CN"/>
        </w:rPr>
        <w:t>Strategy on the</w:t>
      </w:r>
      <w:r w:rsidRPr="00BD00A9">
        <w:rPr>
          <w:rFonts w:ascii="Times New Roman" w:eastAsiaTheme="minorEastAsia" w:hAnsi="Times New Roman"/>
          <w:noProof/>
          <w:sz w:val="24"/>
          <w:szCs w:val="24"/>
          <w:lang w:val="en-IE" w:eastAsia="zh-CN"/>
        </w:rPr>
        <w:t xml:space="preserve"> </w:t>
      </w:r>
      <w:r w:rsidRPr="00BD00A9">
        <w:rPr>
          <w:rFonts w:ascii="Times New Roman" w:eastAsiaTheme="minorEastAsia" w:hAnsi="Times New Roman"/>
          <w:b/>
          <w:bCs/>
          <w:noProof/>
          <w:sz w:val="24"/>
          <w:szCs w:val="24"/>
          <w:lang w:val="en-IE" w:eastAsia="zh-CN"/>
        </w:rPr>
        <w:t xml:space="preserve">Rights of </w:t>
      </w:r>
      <w:r w:rsidR="00F45CD2" w:rsidRPr="00BD00A9">
        <w:rPr>
          <w:rFonts w:ascii="Times New Roman" w:eastAsiaTheme="minorEastAsia" w:hAnsi="Times New Roman"/>
          <w:b/>
          <w:bCs/>
          <w:noProof/>
          <w:sz w:val="24"/>
          <w:szCs w:val="24"/>
          <w:lang w:val="en-IE" w:eastAsia="zh-CN"/>
        </w:rPr>
        <w:t>P</w:t>
      </w:r>
      <w:r w:rsidRPr="00BD00A9">
        <w:rPr>
          <w:rFonts w:ascii="Times New Roman" w:eastAsiaTheme="minorEastAsia" w:hAnsi="Times New Roman"/>
          <w:b/>
          <w:bCs/>
          <w:noProof/>
          <w:sz w:val="24"/>
          <w:szCs w:val="24"/>
          <w:lang w:val="en-IE" w:eastAsia="zh-CN"/>
        </w:rPr>
        <w:t>ersons with Disabilities</w:t>
      </w:r>
      <w:r w:rsidR="007E0490" w:rsidRPr="00BD00A9">
        <w:rPr>
          <w:rStyle w:val="FootnoteReference"/>
          <w:rFonts w:ascii="Times New Roman" w:eastAsiaTheme="minorEastAsia" w:hAnsi="Times New Roman"/>
          <w:noProof/>
          <w:sz w:val="24"/>
          <w:szCs w:val="24"/>
          <w:lang w:val="en-IE" w:eastAsia="zh-CN"/>
        </w:rPr>
        <w:footnoteReference w:id="59"/>
      </w:r>
      <w:r w:rsidRPr="00FC4D4F">
        <w:rPr>
          <w:rFonts w:ascii="Times New Roman" w:eastAsiaTheme="minorEastAsia" w:hAnsi="Times New Roman"/>
          <w:noProof/>
          <w:sz w:val="24"/>
          <w:szCs w:val="24"/>
          <w:lang w:val="en-IE" w:eastAsia="zh-CN"/>
        </w:rPr>
        <w:t>.</w:t>
      </w:r>
      <w:r w:rsidRPr="00BD00A9">
        <w:rPr>
          <w:rFonts w:ascii="Times New Roman" w:eastAsiaTheme="minorEastAsia" w:hAnsi="Times New Roman"/>
          <w:b/>
          <w:bCs/>
          <w:noProof/>
          <w:sz w:val="24"/>
          <w:szCs w:val="24"/>
          <w:lang w:val="en-IE" w:eastAsia="zh-CN"/>
        </w:rPr>
        <w:t xml:space="preserve"> </w:t>
      </w:r>
      <w:r w:rsidRPr="00BD00A9">
        <w:rPr>
          <w:rFonts w:ascii="Times New Roman" w:eastAsiaTheme="minorEastAsia" w:hAnsi="Times New Roman"/>
          <w:noProof/>
          <w:sz w:val="24"/>
          <w:szCs w:val="24"/>
          <w:lang w:val="en-IE" w:eastAsia="zh-CN"/>
        </w:rPr>
        <w:t>It</w:t>
      </w:r>
      <w:r w:rsidRPr="00BD00A9">
        <w:rPr>
          <w:rFonts w:ascii="Times New Roman" w:eastAsiaTheme="minorEastAsia" w:hAnsi="Times New Roman"/>
          <w:b/>
          <w:bCs/>
          <w:noProof/>
          <w:sz w:val="24"/>
          <w:szCs w:val="24"/>
          <w:lang w:val="en-IE" w:eastAsia="zh-CN"/>
        </w:rPr>
        <w:t xml:space="preserve"> </w:t>
      </w:r>
      <w:r w:rsidR="002E5164" w:rsidRPr="00BD00A9">
        <w:rPr>
          <w:rFonts w:ascii="Times New Roman" w:eastAsiaTheme="minorEastAsia" w:hAnsi="Times New Roman"/>
          <w:noProof/>
          <w:sz w:val="24"/>
          <w:szCs w:val="24"/>
          <w:lang w:val="en-IE" w:eastAsia="zh-CN"/>
        </w:rPr>
        <w:t>set up</w:t>
      </w:r>
      <w:r w:rsidRPr="00BD00A9">
        <w:rPr>
          <w:rFonts w:ascii="Times New Roman" w:eastAsiaTheme="minorEastAsia" w:hAnsi="Times New Roman"/>
          <w:noProof/>
          <w:sz w:val="24"/>
          <w:szCs w:val="24"/>
          <w:lang w:val="en-IE" w:eastAsia="zh-CN"/>
        </w:rPr>
        <w:t xml:space="preserve"> the Disability Platform, where EU Member States, civil society and institutions work together on making the goals of the strategy a reality</w:t>
      </w:r>
      <w:r w:rsidR="00010837" w:rsidRPr="00BD00A9">
        <w:rPr>
          <w:rFonts w:ascii="Times New Roman" w:eastAsiaTheme="minorEastAsia" w:hAnsi="Times New Roman"/>
          <w:noProof/>
          <w:sz w:val="24"/>
          <w:szCs w:val="24"/>
          <w:lang w:val="en-IE" w:eastAsia="zh-CN"/>
        </w:rPr>
        <w:t xml:space="preserve">. </w:t>
      </w:r>
      <w:r w:rsidRPr="00BD00A9">
        <w:rPr>
          <w:rFonts w:ascii="Times New Roman" w:eastAsiaTheme="minorEastAsia" w:hAnsi="Times New Roman"/>
          <w:noProof/>
          <w:sz w:val="24"/>
          <w:szCs w:val="24"/>
          <w:lang w:val="en-IE" w:eastAsia="zh-CN"/>
        </w:rPr>
        <w:t>A Disability Employment Package</w:t>
      </w:r>
      <w:r w:rsidR="00CA3567" w:rsidRPr="00BD00A9">
        <w:rPr>
          <w:rStyle w:val="FootnoteReference"/>
          <w:rFonts w:ascii="Times New Roman" w:eastAsiaTheme="minorEastAsia" w:hAnsi="Times New Roman"/>
          <w:noProof/>
          <w:sz w:val="24"/>
          <w:szCs w:val="24"/>
          <w:lang w:val="en-IE" w:eastAsia="zh-CN"/>
        </w:rPr>
        <w:footnoteReference w:id="60"/>
      </w:r>
      <w:r w:rsidRPr="00BD00A9">
        <w:rPr>
          <w:rFonts w:ascii="Times New Roman" w:eastAsiaTheme="minorEastAsia" w:hAnsi="Times New Roman"/>
          <w:noProof/>
          <w:sz w:val="24"/>
          <w:szCs w:val="24"/>
          <w:lang w:val="en-IE" w:eastAsia="zh-CN"/>
        </w:rPr>
        <w:t xml:space="preserve"> was launched in September 2022</w:t>
      </w:r>
      <w:r w:rsidR="00CA3567" w:rsidRPr="00BD00A9">
        <w:rPr>
          <w:rFonts w:ascii="Times New Roman" w:eastAsiaTheme="minorEastAsia" w:hAnsi="Times New Roman"/>
          <w:noProof/>
          <w:sz w:val="24"/>
          <w:szCs w:val="24"/>
          <w:lang w:val="en-IE" w:eastAsia="zh-CN"/>
        </w:rPr>
        <w:t xml:space="preserve">, to support Member States in </w:t>
      </w:r>
      <w:r w:rsidR="002F2DE9" w:rsidRPr="00BD00A9">
        <w:rPr>
          <w:rFonts w:ascii="Times New Roman" w:eastAsiaTheme="minorEastAsia" w:hAnsi="Times New Roman"/>
          <w:noProof/>
          <w:sz w:val="24"/>
          <w:szCs w:val="24"/>
          <w:lang w:val="en-IE" w:eastAsia="zh-CN"/>
        </w:rPr>
        <w:t>improving labour market outcomes of persons with disabilities aimed at increasing quality employment of persons with disabilities</w:t>
      </w:r>
      <w:r w:rsidRPr="00BD00A9">
        <w:rPr>
          <w:rFonts w:ascii="Times New Roman" w:eastAsiaTheme="minorEastAsia" w:hAnsi="Times New Roman"/>
          <w:noProof/>
          <w:sz w:val="24"/>
          <w:szCs w:val="24"/>
          <w:lang w:val="en-IE" w:eastAsia="zh-CN"/>
        </w:rPr>
        <w:t>.</w:t>
      </w:r>
      <w:r w:rsidR="00674C26" w:rsidRPr="00BD00A9">
        <w:rPr>
          <w:rFonts w:ascii="Times New Roman" w:eastAsiaTheme="minorEastAsia" w:hAnsi="Times New Roman"/>
          <w:noProof/>
          <w:sz w:val="24"/>
          <w:szCs w:val="24"/>
          <w:lang w:val="en-IE" w:eastAsia="zh-CN"/>
        </w:rPr>
        <w:t xml:space="preserve"> </w:t>
      </w:r>
    </w:p>
    <w:p w14:paraId="7343C883" w14:textId="11171493" w:rsidR="002E5164" w:rsidRPr="00A71DC0" w:rsidRDefault="00DC7CF2" w:rsidP="003C1BAC">
      <w:pPr>
        <w:spacing w:after="240" w:line="276" w:lineRule="auto"/>
        <w:jc w:val="both"/>
        <w:rPr>
          <w:rFonts w:ascii="Times New Roman" w:hAnsi="Times New Roman" w:cs="Times New Roman"/>
          <w:noProof/>
          <w:sz w:val="24"/>
          <w:szCs w:val="24"/>
        </w:rPr>
      </w:pPr>
      <w:r w:rsidRPr="00BD00A9">
        <w:rPr>
          <w:rFonts w:ascii="Times New Roman" w:hAnsi="Times New Roman"/>
          <w:noProof/>
          <w:sz w:val="24"/>
          <w:szCs w:val="24"/>
          <w:lang w:val="en-IE"/>
        </w:rPr>
        <w:t xml:space="preserve">On 6 September 2023, the Commission </w:t>
      </w:r>
      <w:r w:rsidR="00E22BB5">
        <w:rPr>
          <w:rFonts w:ascii="Times New Roman" w:hAnsi="Times New Roman"/>
          <w:noProof/>
          <w:sz w:val="24"/>
          <w:szCs w:val="24"/>
          <w:lang w:val="en-IE"/>
        </w:rPr>
        <w:t xml:space="preserve">also </w:t>
      </w:r>
      <w:r w:rsidRPr="00BD00A9">
        <w:rPr>
          <w:rFonts w:ascii="Times New Roman" w:hAnsi="Times New Roman"/>
          <w:noProof/>
          <w:sz w:val="24"/>
          <w:szCs w:val="24"/>
          <w:lang w:val="en-IE"/>
        </w:rPr>
        <w:t xml:space="preserve">adopted a proposal </w:t>
      </w:r>
      <w:r w:rsidR="00934D4B" w:rsidRPr="00BD00A9">
        <w:rPr>
          <w:rFonts w:ascii="Times New Roman" w:hAnsi="Times New Roman"/>
          <w:noProof/>
          <w:sz w:val="24"/>
          <w:szCs w:val="24"/>
          <w:lang w:val="en-IE"/>
        </w:rPr>
        <w:t xml:space="preserve">for a </w:t>
      </w:r>
      <w:r w:rsidR="005745E7" w:rsidRPr="00BD00A9">
        <w:rPr>
          <w:rFonts w:ascii="Times New Roman" w:hAnsi="Times New Roman"/>
          <w:noProof/>
          <w:sz w:val="24"/>
          <w:szCs w:val="24"/>
          <w:lang w:val="en-IE"/>
        </w:rPr>
        <w:t>d</w:t>
      </w:r>
      <w:r w:rsidR="00934D4B" w:rsidRPr="00BD00A9">
        <w:rPr>
          <w:rFonts w:ascii="Times New Roman" w:hAnsi="Times New Roman"/>
          <w:noProof/>
          <w:sz w:val="24"/>
          <w:szCs w:val="24"/>
          <w:lang w:val="en-IE"/>
        </w:rPr>
        <w:t xml:space="preserve">irective </w:t>
      </w:r>
      <w:r w:rsidR="00586B9E" w:rsidRPr="00BD00A9">
        <w:rPr>
          <w:rFonts w:ascii="Times New Roman" w:hAnsi="Times New Roman"/>
          <w:noProof/>
          <w:sz w:val="24"/>
          <w:szCs w:val="24"/>
          <w:lang w:val="en-IE"/>
        </w:rPr>
        <w:t>establishing</w:t>
      </w:r>
      <w:r w:rsidRPr="00BD00A9">
        <w:rPr>
          <w:rFonts w:ascii="Times New Roman" w:hAnsi="Times New Roman"/>
          <w:noProof/>
          <w:sz w:val="24"/>
          <w:szCs w:val="24"/>
          <w:lang w:val="en-IE"/>
        </w:rPr>
        <w:t xml:space="preserve"> the </w:t>
      </w:r>
      <w:r w:rsidRPr="00BD00A9">
        <w:rPr>
          <w:rFonts w:ascii="Times New Roman" w:hAnsi="Times New Roman"/>
          <w:b/>
          <w:bCs/>
          <w:noProof/>
          <w:sz w:val="24"/>
          <w:szCs w:val="24"/>
          <w:lang w:val="en-IE"/>
        </w:rPr>
        <w:t>European Disability Card</w:t>
      </w:r>
      <w:r w:rsidRPr="00BD00A9">
        <w:rPr>
          <w:rFonts w:ascii="Times New Roman" w:hAnsi="Times New Roman"/>
          <w:noProof/>
          <w:sz w:val="24"/>
          <w:szCs w:val="24"/>
          <w:lang w:val="en-IE"/>
        </w:rPr>
        <w:t xml:space="preserve"> (EDC)</w:t>
      </w:r>
      <w:r w:rsidR="00DF7D30" w:rsidRPr="00BD00A9">
        <w:rPr>
          <w:rFonts w:ascii="Times New Roman" w:hAnsi="Times New Roman"/>
          <w:noProof/>
          <w:sz w:val="24"/>
          <w:szCs w:val="24"/>
          <w:lang w:val="en-IE"/>
        </w:rPr>
        <w:t xml:space="preserve"> and the European Parking Card</w:t>
      </w:r>
      <w:r w:rsidR="00586B9E" w:rsidRPr="00BD00A9">
        <w:rPr>
          <w:rFonts w:ascii="Times New Roman" w:hAnsi="Times New Roman"/>
          <w:noProof/>
          <w:sz w:val="24"/>
          <w:szCs w:val="24"/>
          <w:lang w:val="en-IE"/>
        </w:rPr>
        <w:t xml:space="preserve"> for persons with disabilities</w:t>
      </w:r>
      <w:r w:rsidRPr="00BD00A9">
        <w:rPr>
          <w:rStyle w:val="FootnoteReference"/>
          <w:rFonts w:ascii="Times New Roman" w:hAnsi="Times New Roman"/>
          <w:noProof/>
          <w:sz w:val="24"/>
          <w:szCs w:val="24"/>
          <w:lang w:val="en-IE"/>
        </w:rPr>
        <w:footnoteReference w:id="61"/>
      </w:r>
      <w:r w:rsidRPr="00BD00A9">
        <w:rPr>
          <w:rFonts w:ascii="Times New Roman" w:hAnsi="Times New Roman"/>
          <w:noProof/>
          <w:sz w:val="24"/>
          <w:szCs w:val="24"/>
          <w:lang w:val="en-IE"/>
        </w:rPr>
        <w:t xml:space="preserve">. This proposal builds on the experience </w:t>
      </w:r>
      <w:r w:rsidR="002E5164" w:rsidRPr="00BD00A9">
        <w:rPr>
          <w:rFonts w:ascii="Times New Roman" w:hAnsi="Times New Roman"/>
          <w:noProof/>
          <w:sz w:val="24"/>
          <w:szCs w:val="24"/>
          <w:lang w:val="en-IE"/>
        </w:rPr>
        <w:t>with</w:t>
      </w:r>
      <w:r w:rsidRPr="00BD00A9">
        <w:rPr>
          <w:rFonts w:ascii="Times New Roman" w:hAnsi="Times New Roman"/>
          <w:noProof/>
          <w:sz w:val="24"/>
          <w:szCs w:val="24"/>
          <w:lang w:val="en-IE"/>
        </w:rPr>
        <w:t xml:space="preserve"> the EU parking card for people with disabilities, and the EU Disability Card pilot project</w:t>
      </w:r>
      <w:r w:rsidRPr="00BD00A9">
        <w:rPr>
          <w:rStyle w:val="FootnoteReference"/>
          <w:rFonts w:ascii="Times New Roman" w:hAnsi="Times New Roman"/>
          <w:noProof/>
          <w:sz w:val="24"/>
          <w:szCs w:val="24"/>
          <w:lang w:val="en-IE"/>
        </w:rPr>
        <w:footnoteReference w:id="62"/>
      </w:r>
      <w:r w:rsidR="009245CD" w:rsidRPr="00BD00A9">
        <w:rPr>
          <w:rFonts w:ascii="Times New Roman" w:hAnsi="Times New Roman"/>
          <w:noProof/>
          <w:sz w:val="24"/>
          <w:szCs w:val="24"/>
          <w:lang w:val="en-IE"/>
        </w:rPr>
        <w:t xml:space="preserve">. </w:t>
      </w:r>
      <w:r w:rsidR="002F2DE9" w:rsidRPr="00BD00A9">
        <w:rPr>
          <w:rFonts w:ascii="Times New Roman" w:hAnsi="Times New Roman"/>
          <w:noProof/>
          <w:sz w:val="24"/>
          <w:szCs w:val="24"/>
          <w:lang w:val="en-IE"/>
        </w:rPr>
        <w:t>The aim of the initiative is to provide for the mutual recognition of disability status</w:t>
      </w:r>
      <w:r w:rsidR="00E85A1A">
        <w:rPr>
          <w:rFonts w:ascii="Times New Roman" w:hAnsi="Times New Roman"/>
          <w:noProof/>
          <w:sz w:val="24"/>
          <w:szCs w:val="24"/>
          <w:lang w:val="en-IE"/>
        </w:rPr>
        <w:t xml:space="preserve">. </w:t>
      </w:r>
      <w:r w:rsidR="00E85A1A">
        <w:rPr>
          <w:rFonts w:ascii="Times New Roman" w:hAnsi="Times New Roman" w:cs="Times New Roman"/>
          <w:noProof/>
          <w:color w:val="000000"/>
          <w:sz w:val="24"/>
          <w:szCs w:val="24"/>
        </w:rPr>
        <w:t xml:space="preserve">Under the proposal, preferential conditions should be offered equally in the </w:t>
      </w:r>
      <w:r w:rsidR="00E85A1A" w:rsidRPr="00E85A1A">
        <w:rPr>
          <w:rFonts w:ascii="Times New Roman" w:hAnsi="Times New Roman" w:cs="Times New Roman"/>
          <w:noProof/>
          <w:color w:val="000000"/>
          <w:sz w:val="24"/>
          <w:szCs w:val="24"/>
        </w:rPr>
        <w:t>EU</w:t>
      </w:r>
      <w:r w:rsidR="00E85A1A" w:rsidRPr="00E85A1A">
        <w:rPr>
          <w:rFonts w:ascii="Times New Roman" w:hAnsi="Times New Roman" w:cs="Times New Roman"/>
          <w:noProof/>
          <w:sz w:val="24"/>
          <w:szCs w:val="24"/>
        </w:rPr>
        <w:t xml:space="preserve"> </w:t>
      </w:r>
      <w:r w:rsidR="00E85A1A" w:rsidRPr="00A71DC0">
        <w:rPr>
          <w:rFonts w:ascii="Times New Roman" w:hAnsi="Times New Roman" w:cs="Times New Roman"/>
          <w:noProof/>
          <w:sz w:val="24"/>
          <w:szCs w:val="24"/>
        </w:rPr>
        <w:t>to</w:t>
      </w:r>
      <w:r w:rsidR="00E85A1A" w:rsidRPr="00E85A1A">
        <w:rPr>
          <w:rFonts w:ascii="Times New Roman" w:hAnsi="Times New Roman" w:cs="Times New Roman"/>
          <w:noProof/>
          <w:sz w:val="24"/>
          <w:szCs w:val="24"/>
        </w:rPr>
        <w:t xml:space="preserve"> </w:t>
      </w:r>
      <w:r w:rsidR="00E85A1A" w:rsidRPr="00A71DC0">
        <w:rPr>
          <w:rFonts w:ascii="Times New Roman" w:hAnsi="Times New Roman" w:cs="Times New Roman"/>
          <w:noProof/>
          <w:sz w:val="24"/>
          <w:szCs w:val="24"/>
        </w:rPr>
        <w:t>persons with disabilities travelling for short periods, thereby facilitating the exercise of their free movement rights</w:t>
      </w:r>
      <w:r w:rsidR="00E85A1A" w:rsidRPr="00E85A1A">
        <w:rPr>
          <w:rFonts w:ascii="Times New Roman" w:hAnsi="Times New Roman" w:cs="Times New Roman"/>
          <w:noProof/>
          <w:color w:val="000000"/>
          <w:sz w:val="24"/>
          <w:szCs w:val="24"/>
        </w:rPr>
        <w:t>.</w:t>
      </w:r>
      <w:r w:rsidR="00E85A1A">
        <w:rPr>
          <w:rFonts w:ascii="Times New Roman" w:hAnsi="Times New Roman" w:cs="Times New Roman"/>
          <w:noProof/>
          <w:color w:val="000000"/>
          <w:sz w:val="24"/>
          <w:szCs w:val="24"/>
        </w:rPr>
        <w:t xml:space="preserve"> Special conditions and treatment may include free access; reduced tariffs, tolls, or user charges; priority access; personal assistance; support (such as access to braille and audio guides); and mobility aids when, for instance</w:t>
      </w:r>
      <w:r w:rsidR="00141FC6">
        <w:rPr>
          <w:rFonts w:ascii="Times New Roman" w:hAnsi="Times New Roman" w:cs="Times New Roman"/>
          <w:noProof/>
          <w:color w:val="000000"/>
          <w:sz w:val="24"/>
          <w:szCs w:val="24"/>
        </w:rPr>
        <w:t>,</w:t>
      </w:r>
      <w:r w:rsidR="00E85A1A">
        <w:rPr>
          <w:rFonts w:ascii="Times New Roman" w:hAnsi="Times New Roman" w:cs="Times New Roman"/>
          <w:noProof/>
          <w:color w:val="000000"/>
          <w:sz w:val="24"/>
          <w:szCs w:val="24"/>
        </w:rPr>
        <w:t xml:space="preserve"> using public and private transport, attending cultural events and spaces such as museums or concerts, or visiting leisure and sport centres or amusement parks.</w:t>
      </w:r>
    </w:p>
    <w:p w14:paraId="7364AB20" w14:textId="0C365E2C" w:rsidR="006F035B" w:rsidRPr="00BD00A9" w:rsidRDefault="006F035B" w:rsidP="00BF652A">
      <w:pPr>
        <w:spacing w:after="240" w:line="276" w:lineRule="auto"/>
        <w:jc w:val="both"/>
        <w:rPr>
          <w:rFonts w:ascii="Times New Roman" w:hAnsi="Times New Roman" w:cs="Times New Roman"/>
          <w:noProof/>
          <w:sz w:val="24"/>
          <w:szCs w:val="24"/>
          <w:lang w:val="en-IE"/>
        </w:rPr>
      </w:pPr>
      <w:r w:rsidRPr="00BD00A9">
        <w:rPr>
          <w:rFonts w:ascii="Times New Roman" w:hAnsi="Times New Roman" w:cs="Times New Roman"/>
          <w:noProof/>
          <w:sz w:val="24"/>
          <w:szCs w:val="24"/>
          <w:lang w:val="en-IE"/>
        </w:rPr>
        <w:t>Improved rights</w:t>
      </w:r>
      <w:r w:rsidRPr="00BD00A9">
        <w:rPr>
          <w:noProof/>
        </w:rPr>
        <w:t xml:space="preserve"> </w:t>
      </w:r>
      <w:r w:rsidRPr="00BD00A9">
        <w:rPr>
          <w:rFonts w:ascii="Times New Roman" w:hAnsi="Times New Roman" w:cs="Times New Roman"/>
          <w:noProof/>
          <w:sz w:val="24"/>
          <w:szCs w:val="24"/>
          <w:lang w:val="en-IE"/>
        </w:rPr>
        <w:t xml:space="preserve">for persons with disabilities and with reduced mobility are also part of the initiative ‘Better protection for passengers and their rights’. For instance, if </w:t>
      </w:r>
      <w:r w:rsidR="000B73C2" w:rsidRPr="00BD00A9">
        <w:rPr>
          <w:rFonts w:ascii="Times New Roman" w:hAnsi="Times New Roman" w:cs="Times New Roman"/>
          <w:noProof/>
          <w:sz w:val="24"/>
          <w:szCs w:val="24"/>
          <w:lang w:val="en-IE"/>
        </w:rPr>
        <w:t>persons</w:t>
      </w:r>
      <w:r w:rsidR="007C52CC" w:rsidRPr="00BD00A9">
        <w:rPr>
          <w:rFonts w:ascii="Times New Roman" w:hAnsi="Times New Roman" w:cs="Times New Roman"/>
          <w:noProof/>
          <w:sz w:val="24"/>
          <w:szCs w:val="24"/>
          <w:lang w:val="en-IE"/>
        </w:rPr>
        <w:t xml:space="preserve"> with disabilities and with reduced mobility</w:t>
      </w:r>
      <w:r w:rsidRPr="00BD00A9">
        <w:rPr>
          <w:rFonts w:ascii="Times New Roman" w:hAnsi="Times New Roman" w:cs="Times New Roman"/>
          <w:noProof/>
          <w:sz w:val="24"/>
          <w:szCs w:val="24"/>
          <w:lang w:val="en-IE"/>
        </w:rPr>
        <w:t xml:space="preserve"> have to be accompanied to their flights by a person assisting to comply with aviation safety requirements, that person will travel free of charge</w:t>
      </w:r>
      <w:r w:rsidRPr="00BD00A9">
        <w:rPr>
          <w:rStyle w:val="FootnoteReference"/>
          <w:rFonts w:ascii="Times New Roman" w:hAnsi="Times New Roman" w:cs="Times New Roman"/>
          <w:noProof/>
          <w:sz w:val="24"/>
          <w:szCs w:val="24"/>
          <w:lang w:val="en-IE"/>
        </w:rPr>
        <w:footnoteReference w:id="63"/>
      </w:r>
      <w:r w:rsidRPr="00BD00A9">
        <w:rPr>
          <w:rFonts w:ascii="Times New Roman" w:hAnsi="Times New Roman" w:cs="Times New Roman"/>
          <w:noProof/>
          <w:sz w:val="24"/>
          <w:szCs w:val="24"/>
          <w:lang w:val="en-IE"/>
        </w:rPr>
        <w:t xml:space="preserve">. </w:t>
      </w:r>
      <w:r w:rsidRPr="00BD00A9">
        <w:rPr>
          <w:rFonts w:ascii="Times New Roman" w:eastAsia="Calibri" w:hAnsi="Times New Roman" w:cs="Times New Roman"/>
          <w:noProof/>
          <w:sz w:val="24"/>
          <w:szCs w:val="24"/>
          <w:lang w:val="en-IE"/>
        </w:rPr>
        <w:t>A recast of the Rail Passenger Rights Regulation</w:t>
      </w:r>
      <w:r w:rsidRPr="00BD00A9">
        <w:rPr>
          <w:rStyle w:val="FootnoteReference"/>
          <w:rFonts w:ascii="Times New Roman" w:eastAsia="Calibri" w:hAnsi="Times New Roman" w:cs="Times New Roman"/>
          <w:noProof/>
          <w:sz w:val="24"/>
          <w:szCs w:val="24"/>
          <w:lang w:val="en-IE"/>
        </w:rPr>
        <w:footnoteReference w:id="64"/>
      </w:r>
      <w:r w:rsidRPr="00BD00A9">
        <w:rPr>
          <w:rFonts w:ascii="Times New Roman" w:eastAsia="Calibri" w:hAnsi="Times New Roman" w:cs="Times New Roman"/>
          <w:noProof/>
          <w:sz w:val="24"/>
          <w:szCs w:val="24"/>
          <w:lang w:val="en-IE"/>
        </w:rPr>
        <w:t>, which entered into application on 7 June 2021, promotes cross-border travel and also contains improved rules for persons with disabilities and persons with reduced mobility (in particular a reduction of the pre-notification period for assistance requests to 24 hours)</w:t>
      </w:r>
      <w:r w:rsidR="004A2E9F" w:rsidRPr="00BD00A9">
        <w:rPr>
          <w:rFonts w:ascii="Times New Roman" w:eastAsia="Calibri" w:hAnsi="Times New Roman" w:cs="Times New Roman"/>
          <w:noProof/>
          <w:sz w:val="24"/>
          <w:szCs w:val="24"/>
          <w:lang w:val="en-IE"/>
        </w:rPr>
        <w:t>.</w:t>
      </w:r>
      <w:r w:rsidRPr="00BD00A9">
        <w:rPr>
          <w:rFonts w:ascii="Times New Roman" w:eastAsia="Calibri" w:hAnsi="Times New Roman" w:cs="Times New Roman"/>
          <w:noProof/>
          <w:sz w:val="24"/>
          <w:szCs w:val="24"/>
          <w:lang w:val="en-IE"/>
        </w:rPr>
        <w:t xml:space="preserve"> </w:t>
      </w:r>
    </w:p>
    <w:p w14:paraId="25DC92EB" w14:textId="2734B65D" w:rsidR="003C1BAC" w:rsidRPr="00BD00A9" w:rsidRDefault="00DF7D30" w:rsidP="003C1BAC">
      <w:pPr>
        <w:spacing w:after="240" w:line="276" w:lineRule="auto"/>
        <w:jc w:val="both"/>
        <w:rPr>
          <w:rFonts w:ascii="Times New Roman" w:hAnsi="Times New Roman" w:cs="Times New Roman"/>
          <w:noProof/>
          <w:sz w:val="24"/>
          <w:szCs w:val="24"/>
          <w:lang w:val="en-IE"/>
        </w:rPr>
      </w:pPr>
      <w:r w:rsidRPr="00BD00A9">
        <w:rPr>
          <w:rFonts w:ascii="Times New Roman" w:eastAsiaTheme="minorEastAsia" w:hAnsi="Times New Roman"/>
          <w:noProof/>
          <w:sz w:val="24"/>
          <w:szCs w:val="24"/>
          <w:lang w:val="en-IE" w:eastAsia="zh-CN"/>
        </w:rPr>
        <w:t xml:space="preserve">The Commission also renewed </w:t>
      </w:r>
      <w:r w:rsidR="002E5164" w:rsidRPr="00BD00A9">
        <w:rPr>
          <w:rFonts w:ascii="Times New Roman" w:eastAsiaTheme="minorEastAsia" w:hAnsi="Times New Roman"/>
          <w:noProof/>
          <w:sz w:val="24"/>
          <w:szCs w:val="24"/>
          <w:lang w:val="en-IE" w:eastAsia="zh-CN"/>
        </w:rPr>
        <w:t>its</w:t>
      </w:r>
      <w:r w:rsidRPr="00BD00A9">
        <w:rPr>
          <w:rFonts w:ascii="Times New Roman" w:eastAsiaTheme="minorEastAsia" w:hAnsi="Times New Roman"/>
          <w:noProof/>
          <w:sz w:val="24"/>
          <w:szCs w:val="24"/>
          <w:lang w:val="en-IE" w:eastAsia="zh-CN"/>
        </w:rPr>
        <w:t xml:space="preserve"> Human Resources </w:t>
      </w:r>
      <w:r w:rsidR="002E5164" w:rsidRPr="00BD00A9">
        <w:rPr>
          <w:rFonts w:ascii="Times New Roman" w:eastAsiaTheme="minorEastAsia" w:hAnsi="Times New Roman"/>
          <w:noProof/>
          <w:sz w:val="24"/>
          <w:szCs w:val="24"/>
          <w:lang w:val="en-IE" w:eastAsia="zh-CN"/>
        </w:rPr>
        <w:t>s</w:t>
      </w:r>
      <w:r w:rsidRPr="00BD00A9">
        <w:rPr>
          <w:rFonts w:ascii="Times New Roman" w:eastAsiaTheme="minorEastAsia" w:hAnsi="Times New Roman"/>
          <w:noProof/>
          <w:sz w:val="24"/>
          <w:szCs w:val="24"/>
          <w:lang w:val="en-IE" w:eastAsia="zh-CN"/>
        </w:rPr>
        <w:t xml:space="preserve">trategy, with measures to promote diversity </w:t>
      </w:r>
      <w:r w:rsidR="00B10704" w:rsidRPr="00BD00A9">
        <w:rPr>
          <w:rFonts w:ascii="Times New Roman" w:eastAsiaTheme="minorEastAsia" w:hAnsi="Times New Roman"/>
          <w:noProof/>
          <w:sz w:val="24"/>
          <w:szCs w:val="24"/>
          <w:lang w:val="en-IE" w:eastAsia="zh-CN"/>
        </w:rPr>
        <w:t xml:space="preserve">among its staff, </w:t>
      </w:r>
      <w:r w:rsidRPr="00BD00A9">
        <w:rPr>
          <w:rFonts w:ascii="Times New Roman" w:eastAsiaTheme="minorEastAsia" w:hAnsi="Times New Roman"/>
          <w:noProof/>
          <w:sz w:val="24"/>
          <w:szCs w:val="24"/>
          <w:lang w:val="en-IE" w:eastAsia="zh-CN"/>
        </w:rPr>
        <w:t>inclu</w:t>
      </w:r>
      <w:r w:rsidR="00B10704" w:rsidRPr="00BD00A9">
        <w:rPr>
          <w:rFonts w:ascii="Times New Roman" w:eastAsiaTheme="minorEastAsia" w:hAnsi="Times New Roman"/>
          <w:noProof/>
          <w:sz w:val="24"/>
          <w:szCs w:val="24"/>
          <w:lang w:val="en-IE" w:eastAsia="zh-CN"/>
        </w:rPr>
        <w:t>ding for</w:t>
      </w:r>
      <w:r w:rsidRPr="00BD00A9">
        <w:rPr>
          <w:rFonts w:ascii="Times New Roman" w:eastAsiaTheme="minorEastAsia" w:hAnsi="Times New Roman"/>
          <w:noProof/>
          <w:sz w:val="24"/>
          <w:szCs w:val="24"/>
          <w:lang w:val="en-IE" w:eastAsia="zh-CN"/>
        </w:rPr>
        <w:t xml:space="preserve"> persons with disabilities. </w:t>
      </w:r>
      <w:r w:rsidR="00B10704" w:rsidRPr="00BD00A9">
        <w:rPr>
          <w:rFonts w:ascii="Times New Roman" w:eastAsiaTheme="minorEastAsia" w:hAnsi="Times New Roman"/>
          <w:noProof/>
          <w:sz w:val="24"/>
          <w:szCs w:val="24"/>
          <w:lang w:val="en-IE" w:eastAsia="zh-CN"/>
        </w:rPr>
        <w:t xml:space="preserve">The </w:t>
      </w:r>
      <w:r w:rsidR="002E5164" w:rsidRPr="00BD00A9">
        <w:rPr>
          <w:rFonts w:ascii="Times New Roman" w:eastAsiaTheme="minorEastAsia" w:hAnsi="Times New Roman"/>
          <w:noProof/>
          <w:sz w:val="24"/>
          <w:szCs w:val="24"/>
          <w:lang w:val="en-IE" w:eastAsia="zh-CN"/>
        </w:rPr>
        <w:t>s</w:t>
      </w:r>
      <w:r w:rsidR="00B10704" w:rsidRPr="00BD00A9">
        <w:rPr>
          <w:rFonts w:ascii="Times New Roman" w:eastAsiaTheme="minorEastAsia" w:hAnsi="Times New Roman"/>
          <w:noProof/>
          <w:sz w:val="24"/>
          <w:szCs w:val="24"/>
          <w:lang w:val="en-IE" w:eastAsia="zh-CN"/>
        </w:rPr>
        <w:t xml:space="preserve">trategy aims to foster a diverse and inclusive work environment, free of discrimination. </w:t>
      </w:r>
      <w:r w:rsidR="00674C26" w:rsidRPr="00BD00A9">
        <w:rPr>
          <w:rFonts w:ascii="Times New Roman" w:eastAsiaTheme="minorEastAsia" w:hAnsi="Times New Roman"/>
          <w:noProof/>
          <w:sz w:val="24"/>
          <w:szCs w:val="24"/>
          <w:lang w:val="en-IE" w:eastAsia="zh-CN"/>
        </w:rPr>
        <w:t xml:space="preserve">As </w:t>
      </w:r>
      <w:r w:rsidR="002F6F38" w:rsidRPr="00BD00A9">
        <w:rPr>
          <w:rFonts w:ascii="Times New Roman" w:eastAsiaTheme="minorEastAsia" w:hAnsi="Times New Roman"/>
          <w:noProof/>
          <w:sz w:val="24"/>
          <w:szCs w:val="24"/>
          <w:lang w:val="en-IE" w:eastAsia="zh-CN"/>
        </w:rPr>
        <w:t xml:space="preserve">explained above, as </w:t>
      </w:r>
      <w:r w:rsidR="00674C26" w:rsidRPr="00BD00A9">
        <w:rPr>
          <w:rFonts w:ascii="Times New Roman" w:eastAsiaTheme="minorEastAsia" w:hAnsi="Times New Roman"/>
          <w:noProof/>
          <w:sz w:val="24"/>
          <w:szCs w:val="24"/>
          <w:lang w:val="en-IE" w:eastAsia="zh-CN"/>
        </w:rPr>
        <w:t xml:space="preserve">a follow-up to the </w:t>
      </w:r>
      <w:r w:rsidR="002E5164" w:rsidRPr="00BD00A9">
        <w:rPr>
          <w:rFonts w:ascii="Times New Roman" w:eastAsiaTheme="minorEastAsia" w:hAnsi="Times New Roman"/>
          <w:noProof/>
          <w:sz w:val="24"/>
          <w:szCs w:val="24"/>
          <w:lang w:val="en-IE" w:eastAsia="zh-CN"/>
        </w:rPr>
        <w:t>s</w:t>
      </w:r>
      <w:r w:rsidR="00674C26" w:rsidRPr="00BD00A9">
        <w:rPr>
          <w:rFonts w:ascii="Times New Roman" w:eastAsiaTheme="minorEastAsia" w:hAnsi="Times New Roman"/>
          <w:noProof/>
          <w:sz w:val="24"/>
          <w:szCs w:val="24"/>
          <w:lang w:val="en-IE" w:eastAsia="zh-CN"/>
        </w:rPr>
        <w:t xml:space="preserve">trategy on the </w:t>
      </w:r>
      <w:r w:rsidR="002E5164" w:rsidRPr="00BD00A9">
        <w:rPr>
          <w:rFonts w:ascii="Times New Roman" w:eastAsiaTheme="minorEastAsia" w:hAnsi="Times New Roman"/>
          <w:noProof/>
          <w:sz w:val="24"/>
          <w:szCs w:val="24"/>
          <w:lang w:val="en-IE" w:eastAsia="zh-CN"/>
        </w:rPr>
        <w:t>r</w:t>
      </w:r>
      <w:r w:rsidR="00674C26" w:rsidRPr="00BD00A9">
        <w:rPr>
          <w:rFonts w:ascii="Times New Roman" w:eastAsiaTheme="minorEastAsia" w:hAnsi="Times New Roman"/>
          <w:noProof/>
          <w:sz w:val="24"/>
          <w:szCs w:val="24"/>
          <w:lang w:val="en-IE" w:eastAsia="zh-CN"/>
        </w:rPr>
        <w:t xml:space="preserve">ights of </w:t>
      </w:r>
      <w:r w:rsidR="002E5164" w:rsidRPr="00BD00A9">
        <w:rPr>
          <w:rFonts w:ascii="Times New Roman" w:eastAsiaTheme="minorEastAsia" w:hAnsi="Times New Roman"/>
          <w:noProof/>
          <w:sz w:val="24"/>
          <w:szCs w:val="24"/>
          <w:lang w:val="en-IE" w:eastAsia="zh-CN"/>
        </w:rPr>
        <w:t>p</w:t>
      </w:r>
      <w:r w:rsidR="00674C26" w:rsidRPr="00BD00A9">
        <w:rPr>
          <w:rFonts w:ascii="Times New Roman" w:eastAsiaTheme="minorEastAsia" w:hAnsi="Times New Roman"/>
          <w:noProof/>
          <w:sz w:val="24"/>
          <w:szCs w:val="24"/>
          <w:lang w:val="en-IE" w:eastAsia="zh-CN"/>
        </w:rPr>
        <w:t xml:space="preserve">ersons with </w:t>
      </w:r>
      <w:r w:rsidR="002E5164" w:rsidRPr="00BD00A9">
        <w:rPr>
          <w:rFonts w:ascii="Times New Roman" w:eastAsiaTheme="minorEastAsia" w:hAnsi="Times New Roman"/>
          <w:noProof/>
          <w:sz w:val="24"/>
          <w:szCs w:val="24"/>
          <w:lang w:val="en-IE" w:eastAsia="zh-CN"/>
        </w:rPr>
        <w:t>d</w:t>
      </w:r>
      <w:r w:rsidR="00674C26" w:rsidRPr="00BD00A9">
        <w:rPr>
          <w:rFonts w:ascii="Times New Roman" w:eastAsiaTheme="minorEastAsia" w:hAnsi="Times New Roman"/>
          <w:noProof/>
          <w:sz w:val="24"/>
          <w:szCs w:val="24"/>
          <w:lang w:val="en-IE" w:eastAsia="zh-CN"/>
        </w:rPr>
        <w:t xml:space="preserve">isabilities, the Commission is now also presenting a </w:t>
      </w:r>
      <w:r w:rsidR="002E5164" w:rsidRPr="00BD00A9">
        <w:rPr>
          <w:rFonts w:ascii="Times New Roman" w:eastAsiaTheme="minorEastAsia" w:hAnsi="Times New Roman"/>
          <w:noProof/>
          <w:sz w:val="24"/>
          <w:szCs w:val="24"/>
          <w:lang w:val="en-IE" w:eastAsia="zh-CN"/>
        </w:rPr>
        <w:t>‘</w:t>
      </w:r>
      <w:r w:rsidR="00674C26" w:rsidRPr="00141FC6">
        <w:rPr>
          <w:rFonts w:ascii="Times New Roman" w:hAnsi="Times New Roman"/>
          <w:noProof/>
          <w:sz w:val="24"/>
          <w:szCs w:val="24"/>
          <w:lang w:val="en-IE"/>
        </w:rPr>
        <w:t>Guide of good electoral practice</w:t>
      </w:r>
      <w:r w:rsidR="0096714C" w:rsidRPr="00141FC6">
        <w:rPr>
          <w:rFonts w:ascii="Times New Roman" w:hAnsi="Times New Roman"/>
          <w:noProof/>
          <w:sz w:val="24"/>
          <w:szCs w:val="24"/>
          <w:lang w:val="en-IE"/>
        </w:rPr>
        <w:t>s in Member States</w:t>
      </w:r>
      <w:r w:rsidR="00674C26" w:rsidRPr="00BD00A9">
        <w:rPr>
          <w:rFonts w:ascii="Times New Roman" w:hAnsi="Times New Roman"/>
          <w:noProof/>
          <w:sz w:val="24"/>
          <w:szCs w:val="24"/>
          <w:lang w:val="en-IE"/>
        </w:rPr>
        <w:t xml:space="preserve"> addressing participation of citizens with disabilities in the electoral process</w:t>
      </w:r>
      <w:r w:rsidR="002E5164" w:rsidRPr="00BD00A9">
        <w:rPr>
          <w:rFonts w:ascii="Times New Roman" w:hAnsi="Times New Roman"/>
          <w:noProof/>
          <w:sz w:val="24"/>
          <w:szCs w:val="24"/>
          <w:lang w:val="en-IE"/>
        </w:rPr>
        <w:t>’</w:t>
      </w:r>
      <w:r w:rsidR="002F2DE9" w:rsidRPr="00BD00A9">
        <w:rPr>
          <w:rFonts w:ascii="Times New Roman" w:hAnsi="Times New Roman"/>
          <w:noProof/>
          <w:sz w:val="24"/>
          <w:szCs w:val="24"/>
          <w:lang w:val="en-IE"/>
        </w:rPr>
        <w:t>, as well as a compendium on e-voting rights, fostering accessibility of elections</w:t>
      </w:r>
      <w:r w:rsidR="00674C26" w:rsidRPr="00BD00A9">
        <w:rPr>
          <w:rFonts w:ascii="Times New Roman" w:hAnsi="Times New Roman"/>
          <w:noProof/>
          <w:sz w:val="24"/>
          <w:szCs w:val="24"/>
          <w:lang w:val="en-IE"/>
        </w:rPr>
        <w:t xml:space="preserve"> </w:t>
      </w:r>
      <w:r w:rsidR="00674C26" w:rsidRPr="00BD00A9">
        <w:rPr>
          <w:rFonts w:ascii="Times New Roman" w:hAnsi="Times New Roman" w:cs="Times New Roman"/>
          <w:i/>
          <w:iCs/>
          <w:noProof/>
          <w:sz w:val="24"/>
          <w:szCs w:val="24"/>
          <w:lang w:val="en-IE"/>
        </w:rPr>
        <w:t xml:space="preserve">(see also </w:t>
      </w:r>
      <w:r w:rsidR="002E5164" w:rsidRPr="00BD00A9">
        <w:rPr>
          <w:rFonts w:ascii="Times New Roman" w:hAnsi="Times New Roman" w:cs="Times New Roman"/>
          <w:i/>
          <w:iCs/>
          <w:noProof/>
          <w:sz w:val="24"/>
          <w:szCs w:val="24"/>
          <w:lang w:val="en-IE"/>
        </w:rPr>
        <w:t>S</w:t>
      </w:r>
      <w:r w:rsidR="00674C26" w:rsidRPr="00BD00A9">
        <w:rPr>
          <w:rFonts w:ascii="Times New Roman" w:hAnsi="Times New Roman" w:cs="Times New Roman"/>
          <w:i/>
          <w:iCs/>
          <w:noProof/>
          <w:sz w:val="24"/>
          <w:szCs w:val="24"/>
          <w:lang w:val="en-IE"/>
        </w:rPr>
        <w:t>ection 6.2.2)</w:t>
      </w:r>
      <w:r w:rsidR="00674C26" w:rsidRPr="00BD00A9">
        <w:rPr>
          <w:rFonts w:ascii="Times New Roman" w:hAnsi="Times New Roman" w:cs="Times New Roman"/>
          <w:noProof/>
          <w:sz w:val="24"/>
          <w:szCs w:val="24"/>
          <w:lang w:val="en-IE"/>
        </w:rPr>
        <w:t>.</w:t>
      </w:r>
    </w:p>
    <w:p w14:paraId="18C37081" w14:textId="1FD48CB2" w:rsidR="005D01F7" w:rsidRPr="00BD00A9" w:rsidRDefault="005D01F7" w:rsidP="003C1BAC">
      <w:pPr>
        <w:spacing w:after="240" w:line="276" w:lineRule="auto"/>
        <w:jc w:val="both"/>
        <w:rPr>
          <w:rFonts w:ascii="Times New Roman" w:hAnsi="Times New Roman" w:cs="Times New Roman"/>
          <w:noProof/>
          <w:sz w:val="24"/>
          <w:szCs w:val="24"/>
        </w:rPr>
      </w:pPr>
      <w:r w:rsidRPr="00BD00A9">
        <w:rPr>
          <w:rFonts w:ascii="Times New Roman" w:hAnsi="Times New Roman" w:cs="Times New Roman"/>
          <w:noProof/>
          <w:sz w:val="24"/>
          <w:szCs w:val="24"/>
          <w:lang w:val="en-IE"/>
        </w:rPr>
        <w:t xml:space="preserve">On 11 </w:t>
      </w:r>
      <w:r w:rsidR="00D160E9">
        <w:rPr>
          <w:rFonts w:ascii="Times New Roman" w:hAnsi="Times New Roman" w:cs="Times New Roman"/>
          <w:noProof/>
          <w:sz w:val="24"/>
          <w:szCs w:val="24"/>
          <w:lang w:val="en-IE"/>
        </w:rPr>
        <w:t>October</w:t>
      </w:r>
      <w:r w:rsidRPr="00BD00A9">
        <w:rPr>
          <w:rFonts w:ascii="Times New Roman" w:hAnsi="Times New Roman" w:cs="Times New Roman"/>
          <w:noProof/>
          <w:sz w:val="24"/>
          <w:szCs w:val="24"/>
          <w:lang w:val="en-IE"/>
        </w:rPr>
        <w:t xml:space="preserve"> 2023, the Commission published the Communication ‘Demographic change in Europe: a toolbox for action’ which presents Member States with the tools available to address demographic challenges and their impacts, including to empower older generations and sustain their welfare. </w:t>
      </w:r>
      <w:r w:rsidRPr="00BD00A9">
        <w:rPr>
          <w:rFonts w:ascii="Times New Roman" w:hAnsi="Times New Roman" w:cs="Times New Roman"/>
          <w:noProof/>
          <w:sz w:val="24"/>
          <w:szCs w:val="24"/>
        </w:rPr>
        <w:t>It reminds that respect for older citizens and their well-being is a cornerstone of a thriving ‘longevity society’ at large. The Union of Equality strategies adopted by the Commission in 2020 and 2021 stress the need to combat stereotypes, fight</w:t>
      </w:r>
      <w:r w:rsidRPr="00BD00A9">
        <w:rPr>
          <w:rFonts w:ascii="Times New Roman" w:hAnsi="Times New Roman" w:cs="Times New Roman"/>
          <w:b/>
          <w:bCs/>
          <w:noProof/>
          <w:sz w:val="24"/>
          <w:szCs w:val="24"/>
        </w:rPr>
        <w:t xml:space="preserve"> age-based discrimination</w:t>
      </w:r>
      <w:r w:rsidRPr="00BD00A9">
        <w:rPr>
          <w:rFonts w:ascii="Times New Roman" w:hAnsi="Times New Roman" w:cs="Times New Roman"/>
          <w:noProof/>
          <w:sz w:val="24"/>
          <w:szCs w:val="24"/>
        </w:rPr>
        <w:t xml:space="preserve"> within their respective remit, to promote diversity and inclusion in the workplace, and give everyone equal chances to contribute and thrive. In particular, the Employment Equality Directive protects against age-based discrimination at work</w:t>
      </w:r>
      <w:r w:rsidRPr="00BD00A9">
        <w:rPr>
          <w:rStyle w:val="FootnoteReference"/>
          <w:rFonts w:ascii="Times New Roman" w:hAnsi="Times New Roman" w:cs="Times New Roman"/>
          <w:noProof/>
          <w:sz w:val="24"/>
          <w:szCs w:val="24"/>
        </w:rPr>
        <w:footnoteReference w:id="65"/>
      </w:r>
      <w:r w:rsidR="00141FC6">
        <w:rPr>
          <w:rFonts w:ascii="Times New Roman" w:hAnsi="Times New Roman" w:cs="Times New Roman"/>
          <w:noProof/>
          <w:sz w:val="24"/>
          <w:szCs w:val="24"/>
        </w:rPr>
        <w:t>.</w:t>
      </w:r>
    </w:p>
    <w:p w14:paraId="48A13B17" w14:textId="19A15E5D" w:rsidR="003349B7" w:rsidRPr="00BD00A9" w:rsidRDefault="003349B7" w:rsidP="003349B7">
      <w:pPr>
        <w:spacing w:after="240" w:line="276" w:lineRule="auto"/>
        <w:jc w:val="both"/>
        <w:rPr>
          <w:rFonts w:ascii="Times New Roman" w:eastAsiaTheme="minorEastAsia" w:hAnsi="Times New Roman"/>
          <w:noProof/>
          <w:sz w:val="24"/>
          <w:szCs w:val="24"/>
          <w:lang w:val="en-IE" w:eastAsia="zh-CN"/>
        </w:rPr>
      </w:pPr>
      <w:r w:rsidRPr="00BD00A9">
        <w:rPr>
          <w:rFonts w:ascii="Times New Roman" w:eastAsiaTheme="minorEastAsia" w:hAnsi="Times New Roman"/>
          <w:noProof/>
          <w:sz w:val="24"/>
          <w:szCs w:val="24"/>
          <w:lang w:val="en-IE" w:eastAsia="zh-CN"/>
        </w:rPr>
        <w:t xml:space="preserve">The Commission continued to implement the EU </w:t>
      </w:r>
      <w:r w:rsidRPr="00BD00A9">
        <w:rPr>
          <w:rFonts w:ascii="Times New Roman" w:eastAsiaTheme="minorEastAsia" w:hAnsi="Times New Roman"/>
          <w:b/>
          <w:bCs/>
          <w:noProof/>
          <w:sz w:val="24"/>
          <w:szCs w:val="24"/>
          <w:lang w:val="en-IE" w:eastAsia="zh-CN"/>
        </w:rPr>
        <w:t>Strategy on the Rights of the Child</w:t>
      </w:r>
      <w:r w:rsidRPr="00BD00A9">
        <w:rPr>
          <w:rFonts w:ascii="Times New Roman" w:eastAsiaTheme="minorEastAsia" w:hAnsi="Times New Roman"/>
          <w:noProof/>
          <w:sz w:val="24"/>
          <w:szCs w:val="24"/>
          <w:lang w:val="en-IE" w:eastAsia="zh-CN"/>
        </w:rPr>
        <w:t xml:space="preserve"> adopted in 2021</w:t>
      </w:r>
      <w:r w:rsidRPr="00BD00A9">
        <w:rPr>
          <w:rStyle w:val="FootnoteReference"/>
          <w:rFonts w:ascii="Times New Roman" w:eastAsiaTheme="minorEastAsia" w:hAnsi="Times New Roman"/>
          <w:noProof/>
          <w:sz w:val="24"/>
          <w:szCs w:val="24"/>
          <w:lang w:val="en-IE" w:eastAsia="zh-CN"/>
        </w:rPr>
        <w:footnoteReference w:id="66"/>
      </w:r>
      <w:r w:rsidRPr="00BD00A9">
        <w:rPr>
          <w:rFonts w:ascii="Times New Roman" w:eastAsiaTheme="minorEastAsia" w:hAnsi="Times New Roman"/>
          <w:noProof/>
          <w:sz w:val="24"/>
          <w:szCs w:val="24"/>
          <w:lang w:val="en-IE" w:eastAsia="zh-CN"/>
        </w:rPr>
        <w:t xml:space="preserve">, which aims to uphold children’s rights in all areas of EU activity and to implement almost 40 activities under the current Commission and beyond. The strategy includes recommendations for Member States across six thematic areas. It addresses discrimination based on socio-economic factors and promotes equal opportunities in accessing education, health services and justice systems. The Commission also set up the EU </w:t>
      </w:r>
      <w:r w:rsidR="00DC75B4">
        <w:rPr>
          <w:rFonts w:ascii="Times New Roman" w:eastAsiaTheme="minorEastAsia" w:hAnsi="Times New Roman"/>
          <w:noProof/>
          <w:sz w:val="24"/>
          <w:szCs w:val="24"/>
          <w:lang w:val="en-IE" w:eastAsia="zh-CN"/>
        </w:rPr>
        <w:t>C</w:t>
      </w:r>
      <w:r w:rsidRPr="00BD00A9">
        <w:rPr>
          <w:rFonts w:ascii="Times New Roman" w:eastAsiaTheme="minorEastAsia" w:hAnsi="Times New Roman"/>
          <w:noProof/>
          <w:sz w:val="24"/>
          <w:szCs w:val="24"/>
          <w:lang w:val="en-IE" w:eastAsia="zh-CN"/>
        </w:rPr>
        <w:t>hildrens’</w:t>
      </w:r>
      <w:r w:rsidR="00DC75B4">
        <w:rPr>
          <w:rFonts w:ascii="Times New Roman" w:eastAsiaTheme="minorEastAsia" w:hAnsi="Times New Roman"/>
          <w:noProof/>
          <w:sz w:val="24"/>
          <w:szCs w:val="24"/>
          <w:lang w:val="en-IE" w:eastAsia="zh-CN"/>
        </w:rPr>
        <w:t xml:space="preserve"> P</w:t>
      </w:r>
      <w:r w:rsidRPr="00BD00A9">
        <w:rPr>
          <w:rFonts w:ascii="Times New Roman" w:eastAsiaTheme="minorEastAsia" w:hAnsi="Times New Roman"/>
          <w:noProof/>
          <w:sz w:val="24"/>
          <w:szCs w:val="24"/>
          <w:lang w:val="en-IE" w:eastAsia="zh-CN"/>
        </w:rPr>
        <w:t xml:space="preserve">articipation </w:t>
      </w:r>
      <w:r w:rsidR="00DC75B4">
        <w:rPr>
          <w:rFonts w:ascii="Times New Roman" w:eastAsiaTheme="minorEastAsia" w:hAnsi="Times New Roman"/>
          <w:noProof/>
          <w:sz w:val="24"/>
          <w:szCs w:val="24"/>
          <w:lang w:val="en-IE" w:eastAsia="zh-CN"/>
        </w:rPr>
        <w:t>P</w:t>
      </w:r>
      <w:r w:rsidRPr="00BD00A9">
        <w:rPr>
          <w:rFonts w:ascii="Times New Roman" w:eastAsiaTheme="minorEastAsia" w:hAnsi="Times New Roman"/>
          <w:noProof/>
          <w:sz w:val="24"/>
          <w:szCs w:val="24"/>
          <w:lang w:val="en-IE" w:eastAsia="zh-CN"/>
        </w:rPr>
        <w:t>latform</w:t>
      </w:r>
      <w:r w:rsidRPr="00BD00A9">
        <w:rPr>
          <w:rStyle w:val="FootnoteReference"/>
          <w:rFonts w:ascii="Times New Roman" w:eastAsiaTheme="minorEastAsia" w:hAnsi="Times New Roman"/>
          <w:noProof/>
          <w:sz w:val="24"/>
          <w:szCs w:val="24"/>
          <w:lang w:val="en-IE" w:eastAsia="zh-CN"/>
        </w:rPr>
        <w:footnoteReference w:id="67"/>
      </w:r>
      <w:r w:rsidRPr="00BD00A9">
        <w:rPr>
          <w:rFonts w:ascii="Times New Roman" w:eastAsiaTheme="minorEastAsia" w:hAnsi="Times New Roman"/>
          <w:noProof/>
          <w:sz w:val="24"/>
          <w:szCs w:val="24"/>
          <w:lang w:val="en-IE" w:eastAsia="zh-CN"/>
        </w:rPr>
        <w:t xml:space="preserve">, which brings together children involved in various existing child participation mechanisms across the EU and involves them in conversations and activities contributing to democratic processes and policy making. In this context, </w:t>
      </w:r>
      <w:r w:rsidRPr="00BD00A9">
        <w:rPr>
          <w:rFonts w:ascii="Times New Roman" w:eastAsiaTheme="minorEastAsia" w:hAnsi="Times New Roman"/>
          <w:noProof/>
          <w:sz w:val="24"/>
          <w:szCs w:val="24"/>
          <w:lang w:eastAsia="zh-CN"/>
        </w:rPr>
        <w:t>the European Child Guarantee aims to address social exclusion by guaranteeing children in need effective access to key services, including free early childhood education and care</w:t>
      </w:r>
      <w:r w:rsidRPr="00BD00A9">
        <w:rPr>
          <w:rStyle w:val="FootnoteReference"/>
          <w:rFonts w:ascii="Times New Roman" w:eastAsiaTheme="minorEastAsia" w:hAnsi="Times New Roman"/>
          <w:noProof/>
          <w:sz w:val="24"/>
          <w:szCs w:val="24"/>
          <w:lang w:eastAsia="zh-CN"/>
        </w:rPr>
        <w:footnoteReference w:id="68"/>
      </w:r>
      <w:r w:rsidRPr="00BD00A9">
        <w:rPr>
          <w:rFonts w:ascii="Times New Roman" w:eastAsiaTheme="minorEastAsia" w:hAnsi="Times New Roman"/>
          <w:noProof/>
          <w:sz w:val="24"/>
          <w:szCs w:val="24"/>
          <w:lang w:eastAsia="zh-CN"/>
        </w:rPr>
        <w:t>.</w:t>
      </w:r>
    </w:p>
    <w:p w14:paraId="6C64CF93" w14:textId="77777777" w:rsidR="003349B7" w:rsidRPr="00BD00A9" w:rsidRDefault="003349B7" w:rsidP="003349B7">
      <w:pPr>
        <w:spacing w:after="240" w:line="276" w:lineRule="auto"/>
        <w:jc w:val="both"/>
        <w:rPr>
          <w:rFonts w:ascii="Times New Roman" w:eastAsiaTheme="minorEastAsia" w:hAnsi="Times New Roman"/>
          <w:noProof/>
          <w:sz w:val="24"/>
          <w:szCs w:val="24"/>
          <w:lang w:val="en-IE" w:eastAsia="zh-CN"/>
        </w:rPr>
      </w:pPr>
      <w:r w:rsidRPr="00BD00A9">
        <w:rPr>
          <w:rFonts w:ascii="Times New Roman" w:eastAsiaTheme="minorEastAsia" w:hAnsi="Times New Roman"/>
          <w:noProof/>
          <w:sz w:val="24"/>
          <w:szCs w:val="24"/>
          <w:lang w:val="en-IE" w:eastAsia="zh-CN"/>
        </w:rPr>
        <w:t xml:space="preserve">In 2022, the Commission also adopted a proposal to </w:t>
      </w:r>
      <w:r w:rsidRPr="00BD00A9">
        <w:rPr>
          <w:rFonts w:ascii="Times New Roman" w:eastAsiaTheme="minorEastAsia" w:hAnsi="Times New Roman"/>
          <w:b/>
          <w:bCs/>
          <w:noProof/>
          <w:sz w:val="24"/>
          <w:szCs w:val="24"/>
          <w:lang w:val="en-IE" w:eastAsia="zh-CN"/>
        </w:rPr>
        <w:t>ensure the recognition of parenthood between Member States</w:t>
      </w:r>
      <w:r w:rsidRPr="00BD00A9">
        <w:rPr>
          <w:rStyle w:val="FootnoteReference"/>
          <w:rFonts w:ascii="Times New Roman" w:eastAsiaTheme="minorEastAsia" w:hAnsi="Times New Roman"/>
          <w:noProof/>
          <w:sz w:val="24"/>
          <w:szCs w:val="24"/>
          <w:lang w:val="en-IE" w:eastAsia="zh-CN"/>
        </w:rPr>
        <w:footnoteReference w:id="69"/>
      </w:r>
      <w:r w:rsidRPr="00BD00A9">
        <w:rPr>
          <w:rFonts w:ascii="Times New Roman" w:eastAsiaTheme="minorEastAsia" w:hAnsi="Times New Roman"/>
          <w:noProof/>
          <w:sz w:val="24"/>
          <w:szCs w:val="24"/>
          <w:lang w:val="en-IE" w:eastAsia="zh-CN"/>
        </w:rPr>
        <w:t>. The proposal aims to</w:t>
      </w:r>
      <w:r w:rsidRPr="00BD00A9" w:rsidDel="00A7510E">
        <w:rPr>
          <w:rFonts w:ascii="Times New Roman" w:eastAsiaTheme="minorEastAsia" w:hAnsi="Times New Roman"/>
          <w:noProof/>
          <w:sz w:val="24"/>
          <w:szCs w:val="24"/>
          <w:lang w:val="en-IE" w:eastAsia="zh-CN"/>
        </w:rPr>
        <w:t xml:space="preserve"> provide legal clarity for all types of families who find themselves in a cross-border situation within the EU, </w:t>
      </w:r>
      <w:r w:rsidRPr="00BD00A9">
        <w:rPr>
          <w:rFonts w:ascii="Times New Roman" w:eastAsiaTheme="minorEastAsia" w:hAnsi="Times New Roman"/>
          <w:noProof/>
          <w:sz w:val="24"/>
          <w:szCs w:val="24"/>
          <w:lang w:val="en-IE" w:eastAsia="zh-CN"/>
        </w:rPr>
        <w:t xml:space="preserve">be it </w:t>
      </w:r>
      <w:r w:rsidRPr="00BD00A9" w:rsidDel="00A7510E">
        <w:rPr>
          <w:rFonts w:ascii="Times New Roman" w:eastAsiaTheme="minorEastAsia" w:hAnsi="Times New Roman"/>
          <w:noProof/>
          <w:sz w:val="24"/>
          <w:szCs w:val="24"/>
          <w:lang w:val="en-IE" w:eastAsia="zh-CN"/>
        </w:rPr>
        <w:t xml:space="preserve">because they move from one Member State to another to travel or reside, or because they have family members or property in another Member State. </w:t>
      </w:r>
      <w:r w:rsidRPr="00BD00A9">
        <w:rPr>
          <w:rFonts w:ascii="Times New Roman" w:eastAsiaTheme="minorEastAsia" w:hAnsi="Times New Roman"/>
          <w:noProof/>
          <w:sz w:val="24"/>
          <w:szCs w:val="24"/>
          <w:lang w:val="en-IE" w:eastAsia="zh-CN"/>
        </w:rPr>
        <w:t>Under</w:t>
      </w:r>
      <w:r w:rsidRPr="00BD00A9" w:rsidDel="00A7510E">
        <w:rPr>
          <w:rFonts w:ascii="Times New Roman" w:eastAsiaTheme="minorEastAsia" w:hAnsi="Times New Roman"/>
          <w:noProof/>
          <w:sz w:val="24"/>
          <w:szCs w:val="24"/>
          <w:lang w:val="en-IE" w:eastAsia="zh-CN"/>
        </w:rPr>
        <w:t xml:space="preserve"> the proposal</w:t>
      </w:r>
      <w:r w:rsidRPr="00BD00A9">
        <w:rPr>
          <w:rFonts w:ascii="Times New Roman" w:eastAsiaTheme="minorEastAsia" w:hAnsi="Times New Roman"/>
          <w:noProof/>
          <w:sz w:val="24"/>
          <w:szCs w:val="24"/>
          <w:lang w:val="en-IE" w:eastAsia="zh-CN"/>
        </w:rPr>
        <w:t xml:space="preserve">, the </w:t>
      </w:r>
      <w:r w:rsidRPr="00BD00A9" w:rsidDel="00A7510E">
        <w:rPr>
          <w:rFonts w:ascii="Times New Roman" w:eastAsiaTheme="minorEastAsia" w:hAnsi="Times New Roman"/>
          <w:noProof/>
          <w:sz w:val="24"/>
          <w:szCs w:val="24"/>
          <w:lang w:val="en-IE" w:eastAsia="zh-CN"/>
        </w:rPr>
        <w:t xml:space="preserve">parenthood established in </w:t>
      </w:r>
      <w:r w:rsidRPr="00BD00A9">
        <w:rPr>
          <w:rFonts w:ascii="Times New Roman" w:eastAsiaTheme="minorEastAsia" w:hAnsi="Times New Roman"/>
          <w:noProof/>
          <w:sz w:val="24"/>
          <w:szCs w:val="24"/>
          <w:lang w:val="en-IE" w:eastAsia="zh-CN"/>
        </w:rPr>
        <w:t>one</w:t>
      </w:r>
      <w:r w:rsidRPr="00BD00A9" w:rsidDel="00A7510E">
        <w:rPr>
          <w:rFonts w:ascii="Times New Roman" w:eastAsiaTheme="minorEastAsia" w:hAnsi="Times New Roman"/>
          <w:noProof/>
          <w:sz w:val="24"/>
          <w:szCs w:val="24"/>
          <w:lang w:val="en-IE" w:eastAsia="zh-CN"/>
        </w:rPr>
        <w:t xml:space="preserve"> Member State should be recognised in </w:t>
      </w:r>
      <w:r w:rsidRPr="00BD00A9">
        <w:rPr>
          <w:rFonts w:ascii="Times New Roman" w:eastAsiaTheme="minorEastAsia" w:hAnsi="Times New Roman"/>
          <w:noProof/>
          <w:sz w:val="24"/>
          <w:szCs w:val="24"/>
          <w:lang w:val="en-IE" w:eastAsia="zh-CN"/>
        </w:rPr>
        <w:t>all</w:t>
      </w:r>
      <w:r w:rsidRPr="00BD00A9" w:rsidDel="00A7510E">
        <w:rPr>
          <w:rFonts w:ascii="Times New Roman" w:eastAsiaTheme="minorEastAsia" w:hAnsi="Times New Roman"/>
          <w:noProof/>
          <w:sz w:val="24"/>
          <w:szCs w:val="24"/>
          <w:lang w:val="en-IE" w:eastAsia="zh-CN"/>
        </w:rPr>
        <w:t xml:space="preserve"> other Member States without any special procedure. </w:t>
      </w:r>
      <w:r w:rsidRPr="00BD00A9">
        <w:rPr>
          <w:rFonts w:ascii="Times New Roman" w:eastAsiaTheme="minorEastAsia" w:hAnsi="Times New Roman"/>
          <w:noProof/>
          <w:sz w:val="24"/>
          <w:szCs w:val="24"/>
          <w:lang w:val="en-IE" w:eastAsia="zh-CN"/>
        </w:rPr>
        <w:t>This is notably relevant to the rights derived from parenthood under national law, such as the child’s right to maintenance or inheritance in another Member State</w:t>
      </w:r>
      <w:r w:rsidRPr="00BD00A9">
        <w:rPr>
          <w:rStyle w:val="FootnoteReference"/>
          <w:rFonts w:ascii="Times New Roman" w:eastAsiaTheme="minorEastAsia" w:hAnsi="Times New Roman"/>
          <w:noProof/>
          <w:sz w:val="24"/>
          <w:szCs w:val="24"/>
          <w:lang w:val="en-IE" w:eastAsia="zh-CN"/>
        </w:rPr>
        <w:footnoteReference w:id="70"/>
      </w:r>
      <w:r w:rsidRPr="00BD00A9">
        <w:rPr>
          <w:rFonts w:ascii="Times New Roman" w:eastAsiaTheme="minorEastAsia" w:hAnsi="Times New Roman"/>
          <w:noProof/>
          <w:sz w:val="24"/>
          <w:szCs w:val="24"/>
          <w:lang w:val="en-IE" w:eastAsia="zh-CN"/>
        </w:rPr>
        <w:t xml:space="preserve">. </w:t>
      </w:r>
    </w:p>
    <w:p w14:paraId="0EAC2010" w14:textId="77777777" w:rsidR="003349B7" w:rsidRPr="00BD00A9" w:rsidRDefault="003349B7" w:rsidP="003349B7">
      <w:pPr>
        <w:spacing w:after="240" w:line="276" w:lineRule="auto"/>
        <w:jc w:val="both"/>
        <w:rPr>
          <w:rFonts w:ascii="Times New Roman" w:eastAsiaTheme="minorEastAsia" w:hAnsi="Times New Roman"/>
          <w:noProof/>
          <w:sz w:val="24"/>
          <w:szCs w:val="24"/>
          <w:lang w:val="en-IE" w:eastAsia="zh-CN"/>
        </w:rPr>
      </w:pPr>
      <w:r w:rsidRPr="00BD00A9">
        <w:rPr>
          <w:rFonts w:ascii="Times New Roman" w:eastAsiaTheme="minorEastAsia" w:hAnsi="Times New Roman"/>
          <w:noProof/>
          <w:sz w:val="24"/>
          <w:szCs w:val="24"/>
          <w:lang w:val="en-IE" w:eastAsia="zh-CN"/>
        </w:rPr>
        <w:t xml:space="preserve">The Commission also made further progress on its first ever </w:t>
      </w:r>
      <w:r w:rsidRPr="00BD00A9">
        <w:rPr>
          <w:rFonts w:ascii="Times New Roman" w:eastAsiaTheme="minorEastAsia" w:hAnsi="Times New Roman"/>
          <w:b/>
          <w:bCs/>
          <w:noProof/>
          <w:sz w:val="24"/>
          <w:szCs w:val="24"/>
          <w:lang w:val="en-IE" w:eastAsia="zh-CN"/>
        </w:rPr>
        <w:t>LGBTIQ Equality Strategy</w:t>
      </w:r>
      <w:r w:rsidRPr="00BD00A9">
        <w:rPr>
          <w:rFonts w:ascii="Times New Roman" w:eastAsiaTheme="minorEastAsia" w:hAnsi="Times New Roman"/>
          <w:noProof/>
          <w:sz w:val="24"/>
          <w:szCs w:val="24"/>
          <w:lang w:val="en-IE" w:eastAsia="zh-CN"/>
        </w:rPr>
        <w:t xml:space="preserve"> 2020-2025</w:t>
      </w:r>
      <w:r w:rsidRPr="00BD00A9">
        <w:rPr>
          <w:rStyle w:val="FootnoteReference"/>
          <w:rFonts w:ascii="Times New Roman" w:eastAsiaTheme="minorEastAsia" w:hAnsi="Times New Roman"/>
          <w:noProof/>
          <w:sz w:val="24"/>
          <w:szCs w:val="24"/>
          <w:lang w:val="en-IE" w:eastAsia="zh-CN"/>
        </w:rPr>
        <w:footnoteReference w:id="71"/>
      </w:r>
      <w:r w:rsidRPr="00BD00A9">
        <w:rPr>
          <w:rFonts w:ascii="Times New Roman" w:eastAsiaTheme="minorEastAsia" w:hAnsi="Times New Roman"/>
          <w:noProof/>
          <w:sz w:val="24"/>
          <w:szCs w:val="24"/>
          <w:lang w:val="en-IE" w:eastAsia="zh-CN"/>
        </w:rPr>
        <w:t>. On 12 April 2023, it issued a progress report, presenting the state of implementation of the strategy in the period up to February 2023</w:t>
      </w:r>
      <w:r w:rsidRPr="00BD00A9">
        <w:rPr>
          <w:rStyle w:val="FootnoteReference"/>
          <w:rFonts w:ascii="Times New Roman" w:eastAsiaTheme="minorEastAsia" w:hAnsi="Times New Roman"/>
          <w:noProof/>
          <w:sz w:val="24"/>
          <w:szCs w:val="24"/>
          <w:lang w:val="en-IE" w:eastAsia="zh-CN"/>
        </w:rPr>
        <w:footnoteReference w:id="72"/>
      </w:r>
      <w:r w:rsidRPr="00BD00A9">
        <w:rPr>
          <w:rFonts w:ascii="Times New Roman" w:eastAsiaTheme="minorEastAsia" w:hAnsi="Times New Roman"/>
          <w:noProof/>
          <w:sz w:val="24"/>
          <w:szCs w:val="24"/>
          <w:lang w:val="en-IE" w:eastAsia="zh-CN"/>
        </w:rPr>
        <w:t>. The LGBTIQ equality subgroup of the High-level Group on Non-Discrimination, Equality and Diversity developed a set of guidelines to support Member States in taking concrete action to enhance protection of the rights of LGBTIQ people</w:t>
      </w:r>
      <w:r w:rsidRPr="00BD00A9">
        <w:rPr>
          <w:rStyle w:val="FootnoteReference"/>
          <w:rFonts w:ascii="Times New Roman" w:eastAsiaTheme="minorEastAsia" w:hAnsi="Times New Roman"/>
          <w:noProof/>
          <w:sz w:val="24"/>
          <w:szCs w:val="24"/>
          <w:lang w:val="en-IE" w:eastAsia="zh-CN"/>
        </w:rPr>
        <w:footnoteReference w:id="73"/>
      </w:r>
      <w:r w:rsidRPr="00BD00A9">
        <w:rPr>
          <w:rFonts w:ascii="Times New Roman" w:eastAsiaTheme="minorEastAsia" w:hAnsi="Times New Roman"/>
          <w:noProof/>
          <w:sz w:val="24"/>
          <w:szCs w:val="24"/>
          <w:lang w:val="en-IE" w:eastAsia="zh-CN"/>
        </w:rPr>
        <w:t xml:space="preserve">. </w:t>
      </w:r>
    </w:p>
    <w:p w14:paraId="09A8D05C" w14:textId="6D163EA0" w:rsidR="00DC75B4" w:rsidRPr="00DC75B4" w:rsidRDefault="00DC75B4" w:rsidP="00DC75B4">
      <w:pPr>
        <w:spacing w:line="276" w:lineRule="auto"/>
        <w:jc w:val="both"/>
        <w:rPr>
          <w:rFonts w:ascii="Times New Roman" w:eastAsiaTheme="minorEastAsia" w:hAnsi="Times New Roman"/>
          <w:noProof/>
          <w:sz w:val="24"/>
          <w:szCs w:val="24"/>
          <w:lang w:eastAsia="zh-CN"/>
        </w:rPr>
      </w:pPr>
      <w:r w:rsidRPr="00DC75B4">
        <w:rPr>
          <w:rFonts w:ascii="Times New Roman" w:eastAsiaTheme="minorEastAsia" w:hAnsi="Times New Roman"/>
          <w:noProof/>
          <w:sz w:val="24"/>
          <w:szCs w:val="24"/>
          <w:lang w:val="en-IE" w:eastAsia="zh-CN"/>
        </w:rPr>
        <w:t xml:space="preserve">In </w:t>
      </w:r>
      <w:r w:rsidR="00C931F3">
        <w:rPr>
          <w:rFonts w:ascii="Times New Roman" w:eastAsiaTheme="minorEastAsia" w:hAnsi="Times New Roman"/>
          <w:noProof/>
          <w:sz w:val="24"/>
          <w:szCs w:val="24"/>
          <w:lang w:val="en-IE" w:eastAsia="zh-CN"/>
        </w:rPr>
        <w:t>December</w:t>
      </w:r>
      <w:r w:rsidRPr="00DC75B4">
        <w:rPr>
          <w:rFonts w:ascii="Times New Roman" w:eastAsiaTheme="minorEastAsia" w:hAnsi="Times New Roman"/>
          <w:noProof/>
          <w:sz w:val="24"/>
          <w:szCs w:val="24"/>
          <w:lang w:val="en-IE" w:eastAsia="zh-CN"/>
        </w:rPr>
        <w:t xml:space="preserve"> 2020, the Commission adopted a </w:t>
      </w:r>
      <w:r w:rsidRPr="00DC75B4">
        <w:rPr>
          <w:rFonts w:ascii="Times New Roman" w:eastAsiaTheme="minorEastAsia" w:hAnsi="Times New Roman"/>
          <w:b/>
          <w:bCs/>
          <w:noProof/>
          <w:sz w:val="24"/>
          <w:szCs w:val="24"/>
          <w:lang w:val="en-IE" w:eastAsia="zh-CN"/>
        </w:rPr>
        <w:t>strategy to</w:t>
      </w:r>
      <w:r w:rsidRPr="00DC75B4">
        <w:rPr>
          <w:rFonts w:ascii="Times New Roman" w:eastAsiaTheme="minorEastAsia" w:hAnsi="Times New Roman"/>
          <w:noProof/>
          <w:sz w:val="24"/>
          <w:szCs w:val="24"/>
          <w:lang w:val="en-IE" w:eastAsia="zh-CN"/>
        </w:rPr>
        <w:t xml:space="preserve"> </w:t>
      </w:r>
      <w:r w:rsidRPr="00DC75B4">
        <w:rPr>
          <w:rFonts w:ascii="Times New Roman" w:eastAsiaTheme="minorEastAsia" w:hAnsi="Times New Roman"/>
          <w:b/>
          <w:bCs/>
          <w:noProof/>
          <w:sz w:val="24"/>
          <w:szCs w:val="24"/>
          <w:lang w:val="en-IE" w:eastAsia="zh-CN"/>
        </w:rPr>
        <w:t>strengthen the application of the Charter of Fundamental Rights in the EU</w:t>
      </w:r>
      <w:r w:rsidR="004831AF" w:rsidRPr="004831AF">
        <w:rPr>
          <w:rStyle w:val="FootnoteReference"/>
          <w:rFonts w:ascii="Times New Roman" w:eastAsiaTheme="minorEastAsia" w:hAnsi="Times New Roman"/>
          <w:noProof/>
          <w:sz w:val="24"/>
          <w:szCs w:val="24"/>
          <w:lang w:val="en-IE" w:eastAsia="zh-CN"/>
        </w:rPr>
        <w:footnoteReference w:id="74"/>
      </w:r>
      <w:r w:rsidRPr="004831AF">
        <w:rPr>
          <w:rFonts w:ascii="Times New Roman" w:eastAsiaTheme="minorEastAsia" w:hAnsi="Times New Roman"/>
          <w:noProof/>
          <w:sz w:val="24"/>
          <w:szCs w:val="24"/>
          <w:lang w:val="en-IE" w:eastAsia="zh-CN"/>
        </w:rPr>
        <w:t>.</w:t>
      </w:r>
      <w:r w:rsidRPr="00DC75B4">
        <w:rPr>
          <w:rFonts w:ascii="Times New Roman" w:eastAsiaTheme="minorEastAsia" w:hAnsi="Times New Roman"/>
          <w:noProof/>
          <w:sz w:val="24"/>
          <w:szCs w:val="24"/>
          <w:lang w:val="en-IE" w:eastAsia="zh-CN"/>
        </w:rPr>
        <w:t xml:space="preserve"> The strategy complements the targeted policy measures taken in several areas, including as regards the rights of EU citizens. It provides a set of measures to make fundamental rights more effective across the EU over a ten-year period. Since 2020, the Commission presents thematic annual reports on the application of the Charter focusing on areas of strategic relevance. In 2023, the report is dedicated to ‘</w:t>
      </w:r>
      <w:r w:rsidR="00C931F3">
        <w:rPr>
          <w:rFonts w:ascii="Times New Roman" w:eastAsiaTheme="minorEastAsia" w:hAnsi="Times New Roman"/>
          <w:noProof/>
          <w:sz w:val="24"/>
          <w:szCs w:val="24"/>
          <w:lang w:val="en-IE" w:eastAsia="zh-CN"/>
        </w:rPr>
        <w:t>e</w:t>
      </w:r>
      <w:r w:rsidRPr="00DC75B4">
        <w:rPr>
          <w:rFonts w:ascii="Times New Roman" w:eastAsiaTheme="minorEastAsia" w:hAnsi="Times New Roman"/>
          <w:noProof/>
          <w:sz w:val="24"/>
          <w:szCs w:val="24"/>
          <w:lang w:val="en-IE" w:eastAsia="zh-CN"/>
        </w:rPr>
        <w:t xml:space="preserve">ffective legal protection and access to justice’ as a precondition </w:t>
      </w:r>
      <w:r w:rsidR="00C931F3">
        <w:rPr>
          <w:rFonts w:ascii="Times New Roman" w:eastAsiaTheme="minorEastAsia" w:hAnsi="Times New Roman"/>
          <w:noProof/>
          <w:sz w:val="24"/>
          <w:szCs w:val="24"/>
          <w:lang w:val="en-IE" w:eastAsia="zh-CN"/>
        </w:rPr>
        <w:t>for</w:t>
      </w:r>
      <w:r w:rsidRPr="00DC75B4">
        <w:rPr>
          <w:rFonts w:ascii="Times New Roman" w:eastAsiaTheme="minorEastAsia" w:hAnsi="Times New Roman"/>
          <w:noProof/>
          <w:sz w:val="24"/>
          <w:szCs w:val="24"/>
          <w:lang w:val="en-IE" w:eastAsia="zh-CN"/>
        </w:rPr>
        <w:t xml:space="preserve"> enjoying fundamental rights.</w:t>
      </w:r>
    </w:p>
    <w:p w14:paraId="11E8521C" w14:textId="77777777" w:rsidR="003349B7" w:rsidRPr="00BD00A9" w:rsidRDefault="003349B7" w:rsidP="003349B7">
      <w:pPr>
        <w:spacing w:after="240" w:line="276" w:lineRule="auto"/>
        <w:jc w:val="both"/>
        <w:rPr>
          <w:rFonts w:ascii="Times New Roman" w:eastAsiaTheme="minorEastAsia" w:hAnsi="Times New Roman"/>
          <w:noProof/>
          <w:sz w:val="24"/>
          <w:szCs w:val="24"/>
          <w:lang w:val="en-IE" w:eastAsia="zh-CN"/>
        </w:rPr>
      </w:pPr>
      <w:r w:rsidRPr="00BD00A9">
        <w:rPr>
          <w:rFonts w:ascii="Times New Roman" w:eastAsiaTheme="minorEastAsia" w:hAnsi="Times New Roman"/>
          <w:noProof/>
          <w:sz w:val="24"/>
          <w:szCs w:val="24"/>
          <w:lang w:val="en-IE" w:eastAsia="zh-CN"/>
        </w:rPr>
        <w:t xml:space="preserve">In December 2022, the Commission presented legislative proposals to strengthen the role of </w:t>
      </w:r>
      <w:r w:rsidRPr="00BD00A9">
        <w:rPr>
          <w:rFonts w:ascii="Times New Roman" w:eastAsiaTheme="minorEastAsia" w:hAnsi="Times New Roman"/>
          <w:b/>
          <w:bCs/>
          <w:noProof/>
          <w:sz w:val="24"/>
          <w:szCs w:val="24"/>
          <w:lang w:val="en-IE" w:eastAsia="zh-CN"/>
        </w:rPr>
        <w:t>equality bodies</w:t>
      </w:r>
      <w:r w:rsidRPr="00BD00A9">
        <w:rPr>
          <w:rStyle w:val="FootnoteReference"/>
          <w:rFonts w:ascii="Times New Roman" w:eastAsiaTheme="minorEastAsia" w:hAnsi="Times New Roman"/>
          <w:noProof/>
          <w:sz w:val="24"/>
          <w:szCs w:val="24"/>
          <w:lang w:val="en-IE" w:eastAsia="zh-CN"/>
        </w:rPr>
        <w:footnoteReference w:id="75"/>
      </w:r>
      <w:r w:rsidRPr="00BD00A9">
        <w:rPr>
          <w:rFonts w:ascii="Times New Roman" w:eastAsiaTheme="minorEastAsia" w:hAnsi="Times New Roman"/>
          <w:noProof/>
          <w:sz w:val="24"/>
          <w:szCs w:val="24"/>
          <w:lang w:val="en-IE" w:eastAsia="zh-CN"/>
        </w:rPr>
        <w:t xml:space="preserve">, in particular by endowing them with greater independence, resources and powers, so they can combat discrimination in Europe more effectively. Equality bodies are essential in assisting victims of discrimination and making sure that EU non-discrimination law is implemented on the ground. This new legislation aims to ensure that equality bodies can achieve their full potential. It will better protect victims of discrimination and help prevent discrimination. </w:t>
      </w:r>
    </w:p>
    <w:p w14:paraId="362C3A08" w14:textId="2AE7B5CD" w:rsidR="00ED076C" w:rsidRPr="00FC4D4F" w:rsidRDefault="00FC5A67" w:rsidP="00BA40FE">
      <w:pPr>
        <w:spacing w:line="276" w:lineRule="auto"/>
        <w:jc w:val="both"/>
        <w:rPr>
          <w:rFonts w:ascii="Times New Roman" w:eastAsiaTheme="minorEastAsia" w:hAnsi="Times New Roman"/>
          <w:noProof/>
          <w:sz w:val="24"/>
          <w:szCs w:val="24"/>
          <w:lang w:val="en-IE" w:eastAsia="zh-CN"/>
        </w:rPr>
      </w:pPr>
      <w:r w:rsidRPr="00BD00A9">
        <w:rPr>
          <w:rFonts w:ascii="Times New Roman" w:eastAsiaTheme="minorEastAsia" w:hAnsi="Times New Roman"/>
          <w:noProof/>
          <w:sz w:val="24"/>
          <w:szCs w:val="24"/>
          <w:lang w:val="en-IE" w:eastAsia="zh-CN"/>
        </w:rPr>
        <w:t>In April 2022, the Commission announced the winners of the first ever European Capitals of Inclusion and Diversity Awards; the second were announced in April 2023</w:t>
      </w:r>
      <w:r w:rsidR="00ED076C">
        <w:rPr>
          <w:rStyle w:val="FootnoteReference"/>
          <w:rFonts w:ascii="Times New Roman" w:eastAsiaTheme="minorEastAsia" w:hAnsi="Times New Roman"/>
          <w:noProof/>
          <w:sz w:val="24"/>
          <w:szCs w:val="24"/>
          <w:lang w:val="en-IE" w:eastAsia="zh-CN"/>
        </w:rPr>
        <w:footnoteReference w:id="76"/>
      </w:r>
      <w:r w:rsidRPr="00BD00A9">
        <w:rPr>
          <w:rFonts w:ascii="Times New Roman" w:eastAsiaTheme="minorEastAsia" w:hAnsi="Times New Roman"/>
          <w:noProof/>
          <w:sz w:val="24"/>
          <w:szCs w:val="24"/>
          <w:lang w:val="en-IE" w:eastAsia="zh-CN"/>
        </w:rPr>
        <w:t xml:space="preserve">. </w:t>
      </w:r>
      <w:r w:rsidRPr="00FC4D4F">
        <w:rPr>
          <w:rFonts w:ascii="Times New Roman" w:eastAsiaTheme="minorEastAsia" w:hAnsi="Times New Roman"/>
          <w:noProof/>
          <w:sz w:val="24"/>
          <w:szCs w:val="24"/>
          <w:lang w:val="en-IE" w:eastAsia="zh-CN"/>
        </w:rPr>
        <w:t>The Commission raises awareness of the importance of inclusion and diversity at the workplace and in the society across the EU by celebrating the EU Diversity Month. Celebrated annually since 2020, the EU Diversity Month honours efforts by organisations to help build equal and inclusive environments for the benefit of all. The European Commission continued promoting diverse and inclusive workplaces and sharing good practices between employers in Europe through the EU Platform of Diversity Charters.</w:t>
      </w:r>
    </w:p>
    <w:p w14:paraId="53FA9245" w14:textId="69BB91F0" w:rsidR="00D855E4" w:rsidRPr="00BD00A9" w:rsidRDefault="00D855E4" w:rsidP="00D855E4">
      <w:pPr>
        <w:pStyle w:val="Heading2"/>
      </w:pPr>
      <w:bookmarkStart w:id="38" w:name="_Toc150854711"/>
      <w:bookmarkStart w:id="39" w:name="_Toc152502492"/>
      <w:r w:rsidRPr="00BD00A9">
        <w:t>Case</w:t>
      </w:r>
      <w:r w:rsidR="00904724" w:rsidRPr="00BD00A9">
        <w:t xml:space="preserve"> </w:t>
      </w:r>
      <w:r w:rsidRPr="00BD00A9">
        <w:t>law developments</w:t>
      </w:r>
      <w:bookmarkEnd w:id="38"/>
      <w:bookmarkEnd w:id="39"/>
    </w:p>
    <w:p w14:paraId="24078F82" w14:textId="235CD9DD" w:rsidR="0007626E" w:rsidRPr="00BD00A9" w:rsidRDefault="7D2511EB" w:rsidP="00890900">
      <w:pPr>
        <w:spacing w:after="240" w:line="276" w:lineRule="auto"/>
        <w:jc w:val="both"/>
        <w:rPr>
          <w:rFonts w:ascii="Times New Roman" w:eastAsiaTheme="minorEastAsia" w:hAnsi="Times New Roman"/>
          <w:noProof/>
          <w:sz w:val="24"/>
          <w:szCs w:val="24"/>
          <w:lang w:val="en-GB" w:eastAsia="zh-CN"/>
        </w:rPr>
      </w:pPr>
      <w:r w:rsidRPr="00BD00A9">
        <w:rPr>
          <w:rFonts w:ascii="Times New Roman" w:eastAsiaTheme="minorEastAsia" w:hAnsi="Times New Roman"/>
          <w:noProof/>
          <w:sz w:val="24"/>
          <w:szCs w:val="24"/>
          <w:lang w:val="en-IE" w:eastAsia="zh-CN"/>
        </w:rPr>
        <w:t xml:space="preserve">During the period covered by this </w:t>
      </w:r>
      <w:r w:rsidR="00F45CD2" w:rsidRPr="00BD00A9">
        <w:rPr>
          <w:rFonts w:ascii="Times New Roman" w:eastAsiaTheme="minorEastAsia" w:hAnsi="Times New Roman"/>
          <w:noProof/>
          <w:sz w:val="24"/>
          <w:szCs w:val="24"/>
          <w:lang w:val="en-IE" w:eastAsia="zh-CN"/>
        </w:rPr>
        <w:t>r</w:t>
      </w:r>
      <w:r w:rsidRPr="00BD00A9">
        <w:rPr>
          <w:rFonts w:ascii="Times New Roman" w:eastAsiaTheme="minorEastAsia" w:hAnsi="Times New Roman"/>
          <w:noProof/>
          <w:sz w:val="24"/>
          <w:szCs w:val="24"/>
          <w:lang w:val="en-IE" w:eastAsia="zh-CN"/>
        </w:rPr>
        <w:t xml:space="preserve">eport, the Court issued </w:t>
      </w:r>
      <w:r w:rsidR="0007626E" w:rsidRPr="00BD00A9">
        <w:rPr>
          <w:rFonts w:ascii="Times New Roman" w:eastAsiaTheme="minorEastAsia" w:hAnsi="Times New Roman"/>
          <w:noProof/>
          <w:sz w:val="24"/>
          <w:szCs w:val="24"/>
          <w:lang w:val="en-IE" w:eastAsia="zh-CN"/>
        </w:rPr>
        <w:t>some</w:t>
      </w:r>
      <w:r w:rsidRPr="00BD00A9">
        <w:rPr>
          <w:rFonts w:ascii="Times New Roman" w:eastAsiaTheme="minorEastAsia" w:hAnsi="Times New Roman"/>
          <w:noProof/>
          <w:sz w:val="24"/>
          <w:szCs w:val="24"/>
          <w:lang w:val="en-IE" w:eastAsia="zh-CN"/>
        </w:rPr>
        <w:t xml:space="preserve"> </w:t>
      </w:r>
      <w:r w:rsidR="00CC7F51" w:rsidRPr="00BD00A9">
        <w:rPr>
          <w:rFonts w:ascii="Times New Roman" w:eastAsiaTheme="minorEastAsia" w:hAnsi="Times New Roman"/>
          <w:noProof/>
          <w:sz w:val="24"/>
          <w:szCs w:val="24"/>
          <w:lang w:val="en-IE" w:eastAsia="zh-CN"/>
        </w:rPr>
        <w:t xml:space="preserve">key </w:t>
      </w:r>
      <w:r w:rsidRPr="00BD00A9">
        <w:rPr>
          <w:rFonts w:ascii="Times New Roman" w:eastAsiaTheme="minorEastAsia" w:hAnsi="Times New Roman"/>
          <w:noProof/>
          <w:sz w:val="24"/>
          <w:szCs w:val="24"/>
          <w:lang w:val="en-IE" w:eastAsia="zh-CN"/>
        </w:rPr>
        <w:t>judgments relating to non-discrimination of EU citizens on the basis of sex, racial or ethnic origin, religion or belief, disability, age or sexual orientation.</w:t>
      </w:r>
      <w:r w:rsidR="0007626E" w:rsidRPr="00BD00A9">
        <w:rPr>
          <w:rFonts w:ascii="Times New Roman" w:eastAsiaTheme="minorEastAsia" w:hAnsi="Times New Roman"/>
          <w:noProof/>
          <w:sz w:val="24"/>
          <w:szCs w:val="24"/>
          <w:lang w:val="en-GB" w:eastAsia="zh-CN"/>
        </w:rPr>
        <w:t xml:space="preserve"> </w:t>
      </w:r>
    </w:p>
    <w:p w14:paraId="16F3D4BD" w14:textId="4F614004" w:rsidR="00BF5EA2" w:rsidRPr="00BD00A9" w:rsidRDefault="0007626E" w:rsidP="00890900">
      <w:pPr>
        <w:spacing w:after="240" w:line="276" w:lineRule="auto"/>
        <w:jc w:val="both"/>
        <w:rPr>
          <w:rFonts w:ascii="Times New Roman" w:eastAsiaTheme="minorEastAsia" w:hAnsi="Times New Roman"/>
          <w:noProof/>
          <w:sz w:val="24"/>
          <w:szCs w:val="24"/>
          <w:lang w:val="en-GB" w:eastAsia="zh-CN"/>
        </w:rPr>
      </w:pPr>
      <w:r w:rsidRPr="00BD00A9">
        <w:rPr>
          <w:rFonts w:ascii="Times New Roman" w:eastAsiaTheme="minorEastAsia" w:hAnsi="Times New Roman"/>
          <w:noProof/>
          <w:sz w:val="24"/>
          <w:szCs w:val="24"/>
          <w:lang w:val="en-GB" w:eastAsia="zh-CN"/>
        </w:rPr>
        <w:t xml:space="preserve">Regarding freedom of religion, </w:t>
      </w:r>
      <w:r w:rsidR="00016549" w:rsidRPr="00BD00A9">
        <w:rPr>
          <w:rFonts w:ascii="Times New Roman" w:eastAsiaTheme="minorEastAsia" w:hAnsi="Times New Roman"/>
          <w:noProof/>
          <w:sz w:val="24"/>
          <w:szCs w:val="24"/>
          <w:lang w:val="en-GB" w:eastAsia="zh-CN"/>
        </w:rPr>
        <w:t xml:space="preserve">in </w:t>
      </w:r>
      <w:r w:rsidRPr="00BD00A9">
        <w:rPr>
          <w:rFonts w:ascii="Times New Roman" w:eastAsiaTheme="minorEastAsia" w:hAnsi="Times New Roman"/>
          <w:b/>
          <w:bCs/>
          <w:i/>
          <w:iCs/>
          <w:noProof/>
          <w:sz w:val="24"/>
          <w:szCs w:val="24"/>
          <w:lang w:val="en-GB" w:eastAsia="zh-CN"/>
        </w:rPr>
        <w:t>L.F. v S.C.R.</w:t>
      </w:r>
      <w:r w:rsidRPr="00BD00A9">
        <w:rPr>
          <w:rFonts w:ascii="Times New Roman" w:eastAsiaTheme="minorEastAsia" w:hAnsi="Times New Roman"/>
          <w:i/>
          <w:iCs/>
          <w:noProof/>
          <w:sz w:val="24"/>
          <w:szCs w:val="24"/>
          <w:lang w:val="en-GB" w:eastAsia="zh-CN"/>
        </w:rPr>
        <w:t>L</w:t>
      </w:r>
      <w:r w:rsidRPr="00BD00A9">
        <w:rPr>
          <w:rFonts w:ascii="Times New Roman" w:eastAsiaTheme="minorEastAsia" w:hAnsi="Times New Roman"/>
          <w:noProof/>
          <w:sz w:val="24"/>
          <w:szCs w:val="24"/>
          <w:vertAlign w:val="superscript"/>
          <w:lang w:val="en-GB" w:eastAsia="zh-CN"/>
        </w:rPr>
        <w:footnoteReference w:id="77"/>
      </w:r>
      <w:r w:rsidR="00E22BB5" w:rsidRPr="00E22BB5">
        <w:rPr>
          <w:rFonts w:ascii="Times New Roman" w:eastAsiaTheme="minorEastAsia" w:hAnsi="Times New Roman"/>
          <w:noProof/>
          <w:sz w:val="24"/>
          <w:szCs w:val="24"/>
          <w:lang w:val="en-GB" w:eastAsia="zh-CN"/>
        </w:rPr>
        <w:t>,</w:t>
      </w:r>
      <w:r w:rsidR="0059689C" w:rsidRPr="00BD00A9">
        <w:rPr>
          <w:rFonts w:ascii="Times New Roman" w:eastAsiaTheme="minorEastAsia" w:hAnsi="Times New Roman"/>
          <w:i/>
          <w:iCs/>
          <w:noProof/>
          <w:sz w:val="24"/>
          <w:szCs w:val="24"/>
          <w:lang w:val="en-GB" w:eastAsia="zh-CN"/>
        </w:rPr>
        <w:t xml:space="preserve"> </w:t>
      </w:r>
      <w:r w:rsidR="00016549" w:rsidRPr="00BD00A9">
        <w:rPr>
          <w:rFonts w:ascii="Times New Roman" w:eastAsiaTheme="minorEastAsia" w:hAnsi="Times New Roman"/>
          <w:noProof/>
          <w:sz w:val="24"/>
          <w:szCs w:val="24"/>
          <w:lang w:val="en-GB" w:eastAsia="zh-CN"/>
        </w:rPr>
        <w:t>t</w:t>
      </w:r>
      <w:r w:rsidRPr="00BD00A9">
        <w:rPr>
          <w:rFonts w:ascii="Times New Roman" w:eastAsiaTheme="minorEastAsia" w:hAnsi="Times New Roman"/>
          <w:noProof/>
          <w:sz w:val="24"/>
          <w:szCs w:val="24"/>
          <w:lang w:val="en-GB" w:eastAsia="zh-CN"/>
        </w:rPr>
        <w:t>he Court ruled that religion and belief must be regarded as a single ground of discrimination, covering both religious belief and philosophical or spiritual belief</w:t>
      </w:r>
      <w:r w:rsidRPr="00BD00A9">
        <w:rPr>
          <w:rFonts w:ascii="Times New Roman" w:eastAsiaTheme="minorEastAsia" w:hAnsi="Times New Roman"/>
          <w:noProof/>
          <w:sz w:val="24"/>
          <w:szCs w:val="24"/>
          <w:vertAlign w:val="superscript"/>
          <w:lang w:val="en-GB" w:eastAsia="zh-CN"/>
        </w:rPr>
        <w:footnoteReference w:id="78"/>
      </w:r>
      <w:r w:rsidRPr="00BD00A9">
        <w:rPr>
          <w:rFonts w:ascii="Times New Roman" w:eastAsiaTheme="minorEastAsia" w:hAnsi="Times New Roman"/>
          <w:noProof/>
          <w:sz w:val="24"/>
          <w:szCs w:val="24"/>
          <w:lang w:val="en-GB" w:eastAsia="zh-CN"/>
        </w:rPr>
        <w:t>.</w:t>
      </w:r>
    </w:p>
    <w:p w14:paraId="562C4497" w14:textId="34ABDC43" w:rsidR="0007626E" w:rsidRPr="00BD00A9" w:rsidRDefault="008F7755" w:rsidP="00890900">
      <w:pPr>
        <w:spacing w:after="240" w:line="276" w:lineRule="auto"/>
        <w:jc w:val="both"/>
        <w:rPr>
          <w:rFonts w:ascii="Times New Roman" w:eastAsiaTheme="minorEastAsia" w:hAnsi="Times New Roman"/>
          <w:noProof/>
          <w:sz w:val="24"/>
          <w:szCs w:val="24"/>
          <w:lang w:val="en-GB" w:eastAsia="zh-CN"/>
        </w:rPr>
      </w:pPr>
      <w:r w:rsidRPr="00BD00A9">
        <w:rPr>
          <w:rFonts w:ascii="Times New Roman" w:eastAsiaTheme="minorEastAsia" w:hAnsi="Times New Roman"/>
          <w:noProof/>
          <w:sz w:val="24"/>
          <w:szCs w:val="24"/>
          <w:lang w:val="en-GB" w:eastAsia="zh-CN"/>
        </w:rPr>
        <w:t>In c</w:t>
      </w:r>
      <w:r w:rsidR="0007626E" w:rsidRPr="00BD00A9">
        <w:rPr>
          <w:rFonts w:ascii="Times New Roman" w:eastAsiaTheme="minorEastAsia" w:hAnsi="Times New Roman"/>
          <w:noProof/>
          <w:sz w:val="24"/>
          <w:szCs w:val="24"/>
          <w:lang w:val="en-GB" w:eastAsia="zh-CN"/>
        </w:rPr>
        <w:t xml:space="preserve">ase </w:t>
      </w:r>
      <w:r w:rsidR="0007626E" w:rsidRPr="00BD00A9">
        <w:rPr>
          <w:rFonts w:ascii="Times New Roman" w:eastAsiaTheme="minorEastAsia" w:hAnsi="Times New Roman"/>
          <w:b/>
          <w:bCs/>
          <w:i/>
          <w:noProof/>
          <w:sz w:val="24"/>
          <w:szCs w:val="24"/>
          <w:lang w:val="en-GB" w:eastAsia="zh-CN"/>
        </w:rPr>
        <w:t>A v HK Danmark and HK/Privat</w:t>
      </w:r>
      <w:r w:rsidR="0007626E" w:rsidRPr="00BD00A9">
        <w:rPr>
          <w:rFonts w:ascii="Times New Roman" w:eastAsiaTheme="minorEastAsia" w:hAnsi="Times New Roman"/>
          <w:noProof/>
          <w:sz w:val="24"/>
          <w:szCs w:val="24"/>
          <w:vertAlign w:val="superscript"/>
          <w:lang w:val="en-GB" w:eastAsia="zh-CN"/>
        </w:rPr>
        <w:footnoteReference w:id="79"/>
      </w:r>
      <w:r w:rsidR="00E22BB5" w:rsidRPr="00E22BB5">
        <w:rPr>
          <w:rFonts w:ascii="Times New Roman" w:eastAsiaTheme="minorEastAsia" w:hAnsi="Times New Roman"/>
          <w:iCs/>
          <w:noProof/>
          <w:sz w:val="24"/>
          <w:szCs w:val="24"/>
          <w:lang w:val="en-GB" w:eastAsia="zh-CN"/>
        </w:rPr>
        <w:t>,</w:t>
      </w:r>
      <w:r w:rsidR="0007626E" w:rsidRPr="00E22BB5">
        <w:rPr>
          <w:rFonts w:ascii="Times New Roman" w:eastAsiaTheme="minorEastAsia" w:hAnsi="Times New Roman"/>
          <w:iCs/>
          <w:noProof/>
          <w:sz w:val="24"/>
          <w:szCs w:val="24"/>
          <w:lang w:val="en-GB" w:eastAsia="zh-CN"/>
        </w:rPr>
        <w:t xml:space="preserve"> </w:t>
      </w:r>
      <w:r w:rsidRPr="00BD00A9">
        <w:rPr>
          <w:rFonts w:ascii="Times New Roman" w:eastAsiaTheme="minorEastAsia" w:hAnsi="Times New Roman"/>
          <w:noProof/>
          <w:sz w:val="24"/>
          <w:szCs w:val="24"/>
          <w:lang w:val="en-GB" w:eastAsia="zh-CN"/>
        </w:rPr>
        <w:t xml:space="preserve">it was </w:t>
      </w:r>
      <w:r w:rsidR="0007626E" w:rsidRPr="00BD00A9">
        <w:rPr>
          <w:rFonts w:ascii="Times New Roman" w:eastAsiaTheme="minorEastAsia" w:hAnsi="Times New Roman"/>
          <w:noProof/>
          <w:sz w:val="24"/>
          <w:szCs w:val="24"/>
          <w:lang w:val="en-GB" w:eastAsia="zh-CN"/>
        </w:rPr>
        <w:t>established that an age limit laid down in the articles of association of an employees</w:t>
      </w:r>
      <w:r w:rsidR="00E22BB5">
        <w:rPr>
          <w:rFonts w:ascii="Times New Roman" w:eastAsiaTheme="minorEastAsia" w:hAnsi="Times New Roman"/>
          <w:noProof/>
          <w:sz w:val="24"/>
          <w:szCs w:val="24"/>
          <w:lang w:val="en-GB" w:eastAsia="zh-CN"/>
        </w:rPr>
        <w:t>’</w:t>
      </w:r>
      <w:r w:rsidR="0007626E" w:rsidRPr="00BD00A9">
        <w:rPr>
          <w:rFonts w:ascii="Times New Roman" w:eastAsiaTheme="minorEastAsia" w:hAnsi="Times New Roman"/>
          <w:noProof/>
          <w:sz w:val="24"/>
          <w:szCs w:val="24"/>
          <w:lang w:val="en-GB" w:eastAsia="zh-CN"/>
        </w:rPr>
        <w:t xml:space="preserve"> organisation </w:t>
      </w:r>
      <w:r w:rsidR="00F45CD2" w:rsidRPr="00BD00A9">
        <w:rPr>
          <w:rFonts w:ascii="Times New Roman" w:eastAsiaTheme="minorEastAsia" w:hAnsi="Times New Roman"/>
          <w:noProof/>
          <w:sz w:val="24"/>
          <w:szCs w:val="24"/>
          <w:lang w:val="en-GB" w:eastAsia="zh-CN"/>
        </w:rPr>
        <w:t>for</w:t>
      </w:r>
      <w:r w:rsidR="0007626E" w:rsidRPr="00BD00A9">
        <w:rPr>
          <w:rFonts w:ascii="Times New Roman" w:eastAsiaTheme="minorEastAsia" w:hAnsi="Times New Roman"/>
          <w:noProof/>
          <w:sz w:val="24"/>
          <w:szCs w:val="24"/>
          <w:lang w:val="en-GB" w:eastAsia="zh-CN"/>
        </w:rPr>
        <w:t xml:space="preserve"> eligib</w:t>
      </w:r>
      <w:r w:rsidR="00F45CD2" w:rsidRPr="00BD00A9">
        <w:rPr>
          <w:rFonts w:ascii="Times New Roman" w:eastAsiaTheme="minorEastAsia" w:hAnsi="Times New Roman"/>
          <w:noProof/>
          <w:sz w:val="24"/>
          <w:szCs w:val="24"/>
          <w:lang w:val="en-GB" w:eastAsia="zh-CN"/>
        </w:rPr>
        <w:t>ility</w:t>
      </w:r>
      <w:r w:rsidR="0007626E" w:rsidRPr="00BD00A9">
        <w:rPr>
          <w:rFonts w:ascii="Times New Roman" w:eastAsiaTheme="minorEastAsia" w:hAnsi="Times New Roman"/>
          <w:noProof/>
          <w:sz w:val="24"/>
          <w:szCs w:val="24"/>
          <w:lang w:val="en-GB" w:eastAsia="zh-CN"/>
        </w:rPr>
        <w:t xml:space="preserve"> for the post of president of that organisation </w:t>
      </w:r>
      <w:r w:rsidR="00F45CD2" w:rsidRPr="00BD00A9">
        <w:rPr>
          <w:rFonts w:ascii="Times New Roman" w:eastAsiaTheme="minorEastAsia" w:hAnsi="Times New Roman"/>
          <w:noProof/>
          <w:sz w:val="24"/>
          <w:szCs w:val="24"/>
          <w:lang w:val="en-GB" w:eastAsia="zh-CN"/>
        </w:rPr>
        <w:t>wa</w:t>
      </w:r>
      <w:r w:rsidR="0007626E" w:rsidRPr="00BD00A9">
        <w:rPr>
          <w:rFonts w:ascii="Times New Roman" w:eastAsiaTheme="minorEastAsia" w:hAnsi="Times New Roman"/>
          <w:noProof/>
          <w:sz w:val="24"/>
          <w:szCs w:val="24"/>
          <w:lang w:val="en-GB" w:eastAsia="zh-CN"/>
        </w:rPr>
        <w:t>s discriminat</w:t>
      </w:r>
      <w:r w:rsidR="00F45CD2" w:rsidRPr="00BD00A9">
        <w:rPr>
          <w:rFonts w:ascii="Times New Roman" w:eastAsiaTheme="minorEastAsia" w:hAnsi="Times New Roman"/>
          <w:noProof/>
          <w:sz w:val="24"/>
          <w:szCs w:val="24"/>
          <w:lang w:val="en-GB" w:eastAsia="zh-CN"/>
        </w:rPr>
        <w:t>ory</w:t>
      </w:r>
      <w:r w:rsidR="0007626E" w:rsidRPr="00BD00A9">
        <w:rPr>
          <w:rFonts w:ascii="Times New Roman" w:eastAsiaTheme="minorEastAsia" w:hAnsi="Times New Roman"/>
          <w:noProof/>
          <w:sz w:val="24"/>
          <w:szCs w:val="24"/>
          <w:lang w:val="en-GB" w:eastAsia="zh-CN"/>
        </w:rPr>
        <w:t xml:space="preserve"> on the basis of age.</w:t>
      </w:r>
    </w:p>
    <w:p w14:paraId="40289326" w14:textId="6D2F7992" w:rsidR="0007626E" w:rsidRPr="00BD00A9" w:rsidRDefault="0007626E" w:rsidP="00890900">
      <w:pPr>
        <w:spacing w:after="240" w:line="276" w:lineRule="auto"/>
        <w:jc w:val="both"/>
        <w:rPr>
          <w:rFonts w:ascii="Times New Roman" w:eastAsiaTheme="minorEastAsia" w:hAnsi="Times New Roman"/>
          <w:b/>
          <w:bCs/>
          <w:i/>
          <w:iCs/>
          <w:noProof/>
          <w:sz w:val="24"/>
          <w:szCs w:val="24"/>
          <w:lang w:val="en-GB" w:eastAsia="zh-CN"/>
        </w:rPr>
      </w:pPr>
      <w:r w:rsidRPr="00BD00A9">
        <w:rPr>
          <w:rFonts w:ascii="Times New Roman" w:eastAsiaTheme="minorEastAsia" w:hAnsi="Times New Roman"/>
          <w:noProof/>
          <w:sz w:val="24"/>
          <w:szCs w:val="24"/>
          <w:lang w:val="en-GB" w:eastAsia="zh-CN"/>
        </w:rPr>
        <w:t>When it comes to non-discrimination on the basis of sexual orientation, the Court ruled that sexual orientation cannot be a reason to refuse or conclude a contract with a self-employed worker</w:t>
      </w:r>
      <w:r w:rsidRPr="00BD00A9">
        <w:rPr>
          <w:rFonts w:ascii="Times New Roman" w:eastAsiaTheme="minorEastAsia" w:hAnsi="Times New Roman"/>
          <w:noProof/>
          <w:sz w:val="24"/>
          <w:szCs w:val="24"/>
          <w:vertAlign w:val="superscript"/>
          <w:lang w:val="en-GB" w:eastAsia="zh-CN"/>
        </w:rPr>
        <w:t xml:space="preserve"> </w:t>
      </w:r>
      <w:r w:rsidRPr="00BD00A9">
        <w:rPr>
          <w:rFonts w:ascii="Times New Roman" w:eastAsiaTheme="minorEastAsia" w:hAnsi="Times New Roman"/>
          <w:noProof/>
          <w:sz w:val="24"/>
          <w:szCs w:val="24"/>
          <w:lang w:val="en-GB" w:eastAsia="zh-CN"/>
        </w:rPr>
        <w:t xml:space="preserve">in </w:t>
      </w:r>
      <w:r w:rsidRPr="00BD00A9">
        <w:rPr>
          <w:rFonts w:ascii="Times New Roman" w:eastAsiaTheme="minorEastAsia" w:hAnsi="Times New Roman"/>
          <w:b/>
          <w:bCs/>
          <w:i/>
          <w:iCs/>
          <w:noProof/>
          <w:sz w:val="24"/>
          <w:szCs w:val="24"/>
          <w:lang w:val="en-GB" w:eastAsia="zh-CN"/>
        </w:rPr>
        <w:t>J.K. v TP S.A</w:t>
      </w:r>
      <w:r w:rsidRPr="00BD00A9">
        <w:rPr>
          <w:rFonts w:ascii="Times New Roman" w:eastAsiaTheme="minorEastAsia" w:hAnsi="Times New Roman"/>
          <w:noProof/>
          <w:sz w:val="24"/>
          <w:szCs w:val="24"/>
          <w:vertAlign w:val="superscript"/>
          <w:lang w:val="en-GB" w:eastAsia="zh-CN"/>
        </w:rPr>
        <w:footnoteReference w:id="80"/>
      </w:r>
      <w:r w:rsidRPr="00BD00A9">
        <w:rPr>
          <w:rFonts w:ascii="Times New Roman" w:eastAsiaTheme="minorEastAsia" w:hAnsi="Times New Roman"/>
          <w:b/>
          <w:bCs/>
          <w:i/>
          <w:iCs/>
          <w:noProof/>
          <w:sz w:val="24"/>
          <w:szCs w:val="24"/>
          <w:lang w:val="en-GB" w:eastAsia="zh-CN"/>
        </w:rPr>
        <w:t>.</w:t>
      </w:r>
    </w:p>
    <w:p w14:paraId="0F4F414A" w14:textId="12DF36AC" w:rsidR="0007626E" w:rsidRPr="00BD00A9" w:rsidRDefault="0007626E" w:rsidP="00890900">
      <w:pPr>
        <w:spacing w:after="240" w:line="276" w:lineRule="auto"/>
        <w:jc w:val="both"/>
        <w:rPr>
          <w:rFonts w:ascii="Times New Roman" w:eastAsiaTheme="minorEastAsia" w:hAnsi="Times New Roman"/>
          <w:noProof/>
          <w:sz w:val="24"/>
          <w:szCs w:val="24"/>
          <w:lang w:val="en-IE" w:eastAsia="zh-CN"/>
        </w:rPr>
      </w:pPr>
      <w:r w:rsidRPr="00BD00A9">
        <w:rPr>
          <w:rFonts w:ascii="Times New Roman" w:eastAsiaTheme="minorEastAsia" w:hAnsi="Times New Roman"/>
          <w:noProof/>
          <w:sz w:val="24"/>
          <w:szCs w:val="24"/>
          <w:lang w:val="en-IE" w:eastAsia="zh-CN"/>
        </w:rPr>
        <w:t xml:space="preserve">These and other cases </w:t>
      </w:r>
      <w:r w:rsidR="008F7755" w:rsidRPr="00BD00A9">
        <w:rPr>
          <w:rFonts w:ascii="Times New Roman" w:eastAsiaTheme="minorEastAsia" w:hAnsi="Times New Roman"/>
          <w:noProof/>
          <w:sz w:val="24"/>
          <w:szCs w:val="24"/>
          <w:lang w:val="en-IE" w:eastAsia="zh-CN"/>
        </w:rPr>
        <w:t xml:space="preserve">on non-discrimination </w:t>
      </w:r>
      <w:r w:rsidRPr="00BD00A9">
        <w:rPr>
          <w:rFonts w:ascii="Times New Roman" w:eastAsiaTheme="minorEastAsia" w:hAnsi="Times New Roman"/>
          <w:noProof/>
          <w:sz w:val="24"/>
          <w:szCs w:val="24"/>
          <w:lang w:val="en-IE" w:eastAsia="zh-CN"/>
        </w:rPr>
        <w:t xml:space="preserve">are explained in more detail </w:t>
      </w:r>
      <w:r w:rsidR="00C12632" w:rsidRPr="00BD00A9">
        <w:rPr>
          <w:rFonts w:ascii="Times New Roman" w:eastAsiaTheme="minorEastAsia" w:hAnsi="Times New Roman"/>
          <w:noProof/>
          <w:sz w:val="24"/>
          <w:szCs w:val="24"/>
          <w:lang w:val="en-IE" w:eastAsia="zh-CN"/>
        </w:rPr>
        <w:t>in</w:t>
      </w:r>
      <w:r w:rsidRPr="00BD00A9">
        <w:rPr>
          <w:rFonts w:ascii="Times New Roman" w:eastAsiaTheme="minorEastAsia" w:hAnsi="Times New Roman"/>
          <w:noProof/>
          <w:sz w:val="24"/>
          <w:szCs w:val="24"/>
          <w:lang w:val="en-IE" w:eastAsia="zh-CN"/>
        </w:rPr>
        <w:t xml:space="preserve"> Annex II.</w:t>
      </w:r>
      <w:r w:rsidRPr="00BD00A9">
        <w:rPr>
          <w:noProof/>
        </w:rPr>
        <w:t xml:space="preserve"> </w:t>
      </w:r>
    </w:p>
    <w:p w14:paraId="3F08F62F" w14:textId="5F320C54" w:rsidR="00D855E4" w:rsidRPr="00BD00A9" w:rsidRDefault="00D855E4" w:rsidP="00D855E4">
      <w:pPr>
        <w:pStyle w:val="Heading1"/>
      </w:pPr>
      <w:bookmarkStart w:id="40" w:name="_Toc150854712"/>
      <w:bookmarkStart w:id="41" w:name="_Toc152502493"/>
      <w:r w:rsidRPr="00BD00A9">
        <w:t>Right to move and reside freely in the territory of the Member States (Articles 20(2) and 21 TFEU)</w:t>
      </w:r>
      <w:bookmarkStart w:id="42" w:name="_Hlk146297401"/>
      <w:bookmarkEnd w:id="40"/>
      <w:bookmarkEnd w:id="41"/>
    </w:p>
    <w:p w14:paraId="4E7C6F7F" w14:textId="4D3EC4E2" w:rsidR="00DD25C9" w:rsidRPr="00BD00A9" w:rsidRDefault="00DD25C9" w:rsidP="00D855E4">
      <w:pPr>
        <w:pStyle w:val="Heading2"/>
      </w:pPr>
      <w:bookmarkStart w:id="43" w:name="_Toc150854713"/>
      <w:bookmarkStart w:id="44" w:name="_Toc152502494"/>
      <w:bookmarkEnd w:id="42"/>
      <w:r w:rsidRPr="00BD00A9">
        <w:t>Introduction</w:t>
      </w:r>
      <w:bookmarkEnd w:id="43"/>
      <w:bookmarkEnd w:id="44"/>
    </w:p>
    <w:p w14:paraId="2E36D33C" w14:textId="7ACC60D3" w:rsidR="00DD25C9" w:rsidRPr="00BD00A9" w:rsidRDefault="5ED4BAA4" w:rsidP="00DD25C9">
      <w:pPr>
        <w:spacing w:after="240" w:line="276" w:lineRule="auto"/>
        <w:jc w:val="both"/>
        <w:rPr>
          <w:rFonts w:ascii="Times New Roman" w:hAnsi="Times New Roman"/>
          <w:noProof/>
          <w:sz w:val="24"/>
          <w:szCs w:val="24"/>
          <w:lang w:val="en-IE"/>
        </w:rPr>
      </w:pPr>
      <w:r w:rsidRPr="00BD00A9">
        <w:rPr>
          <w:rFonts w:ascii="Times New Roman" w:hAnsi="Times New Roman"/>
          <w:noProof/>
          <w:sz w:val="24"/>
          <w:szCs w:val="24"/>
          <w:lang w:val="en-IE"/>
        </w:rPr>
        <w:t>Under Articles 20(2)</w:t>
      </w:r>
      <w:r w:rsidR="7D8C7A8F" w:rsidRPr="00BD00A9">
        <w:rPr>
          <w:rFonts w:ascii="Times New Roman" w:hAnsi="Times New Roman"/>
          <w:noProof/>
          <w:sz w:val="24"/>
          <w:szCs w:val="24"/>
          <w:lang w:val="en-IE"/>
        </w:rPr>
        <w:t>(</w:t>
      </w:r>
      <w:r w:rsidRPr="00BD00A9">
        <w:rPr>
          <w:rFonts w:ascii="Times New Roman" w:hAnsi="Times New Roman"/>
          <w:noProof/>
          <w:sz w:val="24"/>
          <w:szCs w:val="24"/>
          <w:lang w:val="en-IE"/>
        </w:rPr>
        <w:t>a</w:t>
      </w:r>
      <w:r w:rsidR="7D8C7A8F" w:rsidRPr="00BD00A9">
        <w:rPr>
          <w:rFonts w:ascii="Times New Roman" w:hAnsi="Times New Roman"/>
          <w:noProof/>
          <w:sz w:val="24"/>
          <w:szCs w:val="24"/>
          <w:lang w:val="en-IE"/>
        </w:rPr>
        <w:t>)</w:t>
      </w:r>
      <w:r w:rsidRPr="00BD00A9">
        <w:rPr>
          <w:rFonts w:ascii="Times New Roman" w:hAnsi="Times New Roman"/>
          <w:noProof/>
          <w:sz w:val="24"/>
          <w:szCs w:val="24"/>
          <w:lang w:val="en-IE"/>
        </w:rPr>
        <w:t xml:space="preserve"> and 21 TFEU, </w:t>
      </w:r>
      <w:r w:rsidR="1006E0B0" w:rsidRPr="00BD00A9">
        <w:rPr>
          <w:rFonts w:ascii="Times New Roman" w:hAnsi="Times New Roman"/>
          <w:noProof/>
          <w:sz w:val="24"/>
          <w:szCs w:val="24"/>
          <w:lang w:val="en-IE"/>
        </w:rPr>
        <w:t>E</w:t>
      </w:r>
      <w:r w:rsidRPr="00BD00A9">
        <w:rPr>
          <w:rFonts w:ascii="Times New Roman" w:hAnsi="Times New Roman"/>
          <w:noProof/>
          <w:sz w:val="24"/>
          <w:szCs w:val="24"/>
          <w:lang w:val="en-IE"/>
        </w:rPr>
        <w:t>U citizens are entitled to move and reside freely in the territory of the Member States, subject to the limitations and conditions laid down in the Treaties and measures adopted to give them effect</w:t>
      </w:r>
      <w:r w:rsidR="00DD25C9" w:rsidRPr="00BD00A9">
        <w:rPr>
          <w:rStyle w:val="FootnoteReference"/>
          <w:rFonts w:ascii="Times New Roman" w:hAnsi="Times New Roman"/>
          <w:noProof/>
          <w:sz w:val="24"/>
          <w:szCs w:val="24"/>
          <w:lang w:val="en-IE"/>
        </w:rPr>
        <w:footnoteReference w:id="81"/>
      </w:r>
      <w:r w:rsidRPr="00BD00A9">
        <w:rPr>
          <w:rFonts w:ascii="Times New Roman" w:hAnsi="Times New Roman"/>
          <w:noProof/>
          <w:sz w:val="24"/>
          <w:szCs w:val="24"/>
          <w:lang w:val="en-IE"/>
        </w:rPr>
        <w:t>.</w:t>
      </w:r>
    </w:p>
    <w:p w14:paraId="085262B1" w14:textId="6736BCC7" w:rsidR="00DD25C9" w:rsidRPr="00BD00A9" w:rsidRDefault="00DD25C9" w:rsidP="00DD25C9">
      <w:pPr>
        <w:spacing w:after="240" w:line="276" w:lineRule="auto"/>
        <w:jc w:val="both"/>
        <w:rPr>
          <w:rFonts w:ascii="Times New Roman" w:hAnsi="Times New Roman"/>
          <w:noProof/>
          <w:sz w:val="24"/>
          <w:szCs w:val="24"/>
          <w:lang w:val="en-IE"/>
        </w:rPr>
      </w:pPr>
      <w:r w:rsidRPr="00BD00A9">
        <w:rPr>
          <w:rFonts w:ascii="Times New Roman" w:hAnsi="Times New Roman"/>
          <w:noProof/>
          <w:sz w:val="24"/>
          <w:szCs w:val="24"/>
          <w:lang w:val="en-IE"/>
        </w:rPr>
        <w:t xml:space="preserve">According to the 2023 Eurobarometer on </w:t>
      </w:r>
      <w:r w:rsidR="00F45CD2" w:rsidRPr="00BD00A9">
        <w:rPr>
          <w:rFonts w:ascii="Times New Roman" w:hAnsi="Times New Roman"/>
          <w:noProof/>
          <w:sz w:val="24"/>
          <w:szCs w:val="24"/>
          <w:lang w:val="en-IE"/>
        </w:rPr>
        <w:t>c</w:t>
      </w:r>
      <w:r w:rsidRPr="00BD00A9">
        <w:rPr>
          <w:rFonts w:ascii="Times New Roman" w:hAnsi="Times New Roman"/>
          <w:noProof/>
          <w:sz w:val="24"/>
          <w:szCs w:val="24"/>
          <w:lang w:val="en-IE"/>
        </w:rPr>
        <w:t xml:space="preserve">itizenship and </w:t>
      </w:r>
      <w:r w:rsidR="00F45CD2" w:rsidRPr="00BD00A9">
        <w:rPr>
          <w:rFonts w:ascii="Times New Roman" w:hAnsi="Times New Roman"/>
          <w:noProof/>
          <w:sz w:val="24"/>
          <w:szCs w:val="24"/>
          <w:lang w:val="en-IE"/>
        </w:rPr>
        <w:t>d</w:t>
      </w:r>
      <w:r w:rsidRPr="00BD00A9">
        <w:rPr>
          <w:rFonts w:ascii="Times New Roman" w:hAnsi="Times New Roman"/>
          <w:noProof/>
          <w:sz w:val="24"/>
          <w:szCs w:val="24"/>
          <w:lang w:val="en-IE"/>
        </w:rPr>
        <w:t>emocracy, 80% of EU citizens are aware of the</w:t>
      </w:r>
      <w:r w:rsidR="0094751A" w:rsidRPr="00BD00A9">
        <w:rPr>
          <w:rFonts w:ascii="Times New Roman" w:hAnsi="Times New Roman"/>
          <w:noProof/>
          <w:sz w:val="24"/>
          <w:szCs w:val="24"/>
          <w:lang w:val="en-IE"/>
        </w:rPr>
        <w:t>ir</w:t>
      </w:r>
      <w:r w:rsidRPr="00BD00A9">
        <w:rPr>
          <w:rFonts w:ascii="Times New Roman" w:hAnsi="Times New Roman"/>
          <w:noProof/>
          <w:sz w:val="24"/>
          <w:szCs w:val="24"/>
          <w:lang w:val="en-IE"/>
        </w:rPr>
        <w:t xml:space="preserve"> right to reside in any Member State </w:t>
      </w:r>
      <w:r w:rsidR="00F45CD2" w:rsidRPr="00BD00A9">
        <w:rPr>
          <w:rFonts w:ascii="Times New Roman" w:hAnsi="Times New Roman"/>
          <w:noProof/>
          <w:sz w:val="24"/>
          <w:szCs w:val="24"/>
          <w:lang w:val="en-IE"/>
        </w:rPr>
        <w:t xml:space="preserve">provided </w:t>
      </w:r>
      <w:r w:rsidRPr="00BD00A9">
        <w:rPr>
          <w:rFonts w:ascii="Times New Roman" w:hAnsi="Times New Roman"/>
          <w:noProof/>
          <w:sz w:val="24"/>
          <w:szCs w:val="24"/>
          <w:lang w:val="en-IE"/>
        </w:rPr>
        <w:t xml:space="preserve">certain conditions </w:t>
      </w:r>
      <w:r w:rsidR="00F45CD2" w:rsidRPr="00BD00A9">
        <w:rPr>
          <w:rFonts w:ascii="Times New Roman" w:hAnsi="Times New Roman"/>
          <w:noProof/>
          <w:sz w:val="24"/>
          <w:szCs w:val="24"/>
          <w:lang w:val="en-IE"/>
        </w:rPr>
        <w:t>are met</w:t>
      </w:r>
      <w:r w:rsidRPr="00BD00A9">
        <w:rPr>
          <w:rFonts w:ascii="Times New Roman" w:hAnsi="Times New Roman"/>
          <w:noProof/>
          <w:sz w:val="24"/>
          <w:szCs w:val="24"/>
          <w:lang w:val="en-IE"/>
        </w:rPr>
        <w:t xml:space="preserve">. A large majority of respondents hold positive attitudes towards the free movement of EU citizens within the EU. About </w:t>
      </w:r>
      <w:r w:rsidR="00F45CD2" w:rsidRPr="00BD00A9">
        <w:rPr>
          <w:rFonts w:ascii="Times New Roman" w:hAnsi="Times New Roman"/>
          <w:noProof/>
          <w:sz w:val="24"/>
          <w:szCs w:val="24"/>
          <w:lang w:val="en-IE"/>
        </w:rPr>
        <w:t>9</w:t>
      </w:r>
      <w:r w:rsidRPr="00BD00A9">
        <w:rPr>
          <w:rFonts w:ascii="Times New Roman" w:hAnsi="Times New Roman"/>
          <w:noProof/>
          <w:sz w:val="24"/>
          <w:szCs w:val="24"/>
          <w:lang w:val="en-IE"/>
        </w:rPr>
        <w:t xml:space="preserve"> </w:t>
      </w:r>
      <w:r w:rsidR="00F45CD2" w:rsidRPr="00BD00A9">
        <w:rPr>
          <w:rFonts w:ascii="Times New Roman" w:hAnsi="Times New Roman"/>
          <w:noProof/>
          <w:sz w:val="24"/>
          <w:szCs w:val="24"/>
          <w:lang w:val="en-IE"/>
        </w:rPr>
        <w:t>out of</w:t>
      </w:r>
      <w:r w:rsidRPr="00BD00A9">
        <w:rPr>
          <w:rFonts w:ascii="Times New Roman" w:hAnsi="Times New Roman"/>
          <w:noProof/>
          <w:sz w:val="24"/>
          <w:szCs w:val="24"/>
          <w:lang w:val="en-IE"/>
        </w:rPr>
        <w:t xml:space="preserve"> </w:t>
      </w:r>
      <w:r w:rsidR="00F45CD2" w:rsidRPr="00BD00A9">
        <w:rPr>
          <w:rFonts w:ascii="Times New Roman" w:hAnsi="Times New Roman"/>
          <w:noProof/>
          <w:sz w:val="24"/>
          <w:szCs w:val="24"/>
          <w:lang w:val="en-IE"/>
        </w:rPr>
        <w:t>10</w:t>
      </w:r>
      <w:r w:rsidRPr="00BD00A9">
        <w:rPr>
          <w:rFonts w:ascii="Times New Roman" w:hAnsi="Times New Roman"/>
          <w:noProof/>
          <w:sz w:val="24"/>
          <w:szCs w:val="24"/>
          <w:lang w:val="en-IE"/>
        </w:rPr>
        <w:t xml:space="preserve"> (89%) agree that this right personally benefits them, with about </w:t>
      </w:r>
      <w:r w:rsidR="00F45CD2" w:rsidRPr="00BD00A9">
        <w:rPr>
          <w:rFonts w:ascii="Times New Roman" w:hAnsi="Times New Roman"/>
          <w:noProof/>
          <w:sz w:val="24"/>
          <w:szCs w:val="24"/>
          <w:lang w:val="en-IE"/>
        </w:rPr>
        <w:t>7</w:t>
      </w:r>
      <w:r w:rsidRPr="00BD00A9">
        <w:rPr>
          <w:rFonts w:ascii="Times New Roman" w:hAnsi="Times New Roman"/>
          <w:noProof/>
          <w:sz w:val="24"/>
          <w:szCs w:val="24"/>
          <w:lang w:val="en-IE"/>
        </w:rPr>
        <w:t xml:space="preserve"> in </w:t>
      </w:r>
      <w:r w:rsidR="00F45CD2" w:rsidRPr="00BD00A9">
        <w:rPr>
          <w:rFonts w:ascii="Times New Roman" w:hAnsi="Times New Roman"/>
          <w:noProof/>
          <w:sz w:val="24"/>
          <w:szCs w:val="24"/>
          <w:lang w:val="en-IE"/>
        </w:rPr>
        <w:t>10</w:t>
      </w:r>
      <w:r w:rsidRPr="00BD00A9">
        <w:rPr>
          <w:rFonts w:ascii="Times New Roman" w:hAnsi="Times New Roman"/>
          <w:noProof/>
          <w:sz w:val="24"/>
          <w:szCs w:val="24"/>
          <w:lang w:val="en-IE"/>
        </w:rPr>
        <w:t xml:space="preserve"> (69%) strongly agreeing. Similarly, </w:t>
      </w:r>
      <w:r w:rsidR="00F45CD2" w:rsidRPr="00BD00A9">
        <w:rPr>
          <w:rFonts w:ascii="Times New Roman" w:hAnsi="Times New Roman"/>
          <w:noProof/>
          <w:sz w:val="24"/>
          <w:szCs w:val="24"/>
          <w:lang w:val="en-IE"/>
        </w:rPr>
        <w:t>more than</w:t>
      </w:r>
      <w:r w:rsidRPr="00BD00A9">
        <w:rPr>
          <w:rFonts w:ascii="Times New Roman" w:hAnsi="Times New Roman"/>
          <w:noProof/>
          <w:sz w:val="24"/>
          <w:szCs w:val="24"/>
          <w:lang w:val="en-IE"/>
        </w:rPr>
        <w:t xml:space="preserve"> </w:t>
      </w:r>
      <w:r w:rsidR="00F45CD2" w:rsidRPr="00BD00A9">
        <w:rPr>
          <w:rFonts w:ascii="Times New Roman" w:hAnsi="Times New Roman"/>
          <w:noProof/>
          <w:sz w:val="24"/>
          <w:szCs w:val="24"/>
          <w:lang w:val="en-IE"/>
        </w:rPr>
        <w:t>8</w:t>
      </w:r>
      <w:r w:rsidRPr="00BD00A9">
        <w:rPr>
          <w:rFonts w:ascii="Times New Roman" w:hAnsi="Times New Roman"/>
          <w:noProof/>
          <w:sz w:val="24"/>
          <w:szCs w:val="24"/>
          <w:lang w:val="en-IE"/>
        </w:rPr>
        <w:t xml:space="preserve"> </w:t>
      </w:r>
      <w:r w:rsidR="00F45CD2" w:rsidRPr="00BD00A9">
        <w:rPr>
          <w:rFonts w:ascii="Times New Roman" w:hAnsi="Times New Roman"/>
          <w:noProof/>
          <w:sz w:val="24"/>
          <w:szCs w:val="24"/>
          <w:lang w:val="en-IE"/>
        </w:rPr>
        <w:t>out of</w:t>
      </w:r>
      <w:r w:rsidRPr="00BD00A9">
        <w:rPr>
          <w:rFonts w:ascii="Times New Roman" w:hAnsi="Times New Roman"/>
          <w:noProof/>
          <w:sz w:val="24"/>
          <w:szCs w:val="24"/>
          <w:lang w:val="en-IE"/>
        </w:rPr>
        <w:t xml:space="preserve"> </w:t>
      </w:r>
      <w:r w:rsidR="00F45CD2" w:rsidRPr="00BD00A9">
        <w:rPr>
          <w:rFonts w:ascii="Times New Roman" w:hAnsi="Times New Roman"/>
          <w:noProof/>
          <w:sz w:val="24"/>
          <w:szCs w:val="24"/>
          <w:lang w:val="en-IE"/>
        </w:rPr>
        <w:t>10</w:t>
      </w:r>
      <w:r w:rsidRPr="00BD00A9">
        <w:rPr>
          <w:rFonts w:ascii="Times New Roman" w:hAnsi="Times New Roman"/>
          <w:noProof/>
          <w:sz w:val="24"/>
          <w:szCs w:val="24"/>
          <w:lang w:val="en-IE"/>
        </w:rPr>
        <w:t xml:space="preserve"> (83%) agree that the free movement of EU citizens benefits the economy, with about half (51%) strongly agreeing.</w:t>
      </w:r>
    </w:p>
    <w:p w14:paraId="056FC9D6" w14:textId="62919C24" w:rsidR="00E575BE" w:rsidRPr="00BD00A9" w:rsidRDefault="00CC7F51" w:rsidP="00E575BE">
      <w:pPr>
        <w:spacing w:after="240" w:line="276" w:lineRule="auto"/>
        <w:jc w:val="both"/>
        <w:rPr>
          <w:rFonts w:ascii="Times New Roman" w:hAnsi="Times New Roman"/>
          <w:noProof/>
          <w:sz w:val="24"/>
          <w:szCs w:val="24"/>
          <w:lang w:val="en-IE"/>
        </w:rPr>
      </w:pPr>
      <w:r w:rsidRPr="00BD00A9">
        <w:rPr>
          <w:rFonts w:ascii="Times New Roman" w:hAnsi="Times New Roman"/>
          <w:noProof/>
          <w:sz w:val="24"/>
          <w:szCs w:val="24"/>
          <w:lang w:val="en-IE"/>
        </w:rPr>
        <w:t xml:space="preserve">There are </w:t>
      </w:r>
      <w:r w:rsidR="001637D8" w:rsidRPr="00BD00A9">
        <w:rPr>
          <w:rFonts w:ascii="Times New Roman" w:hAnsi="Times New Roman"/>
          <w:noProof/>
          <w:sz w:val="24"/>
          <w:szCs w:val="24"/>
          <w:lang w:val="en-IE"/>
        </w:rPr>
        <w:t xml:space="preserve">13.7 million </w:t>
      </w:r>
      <w:r w:rsidR="00E575BE" w:rsidRPr="00BD00A9">
        <w:rPr>
          <w:rFonts w:ascii="Times New Roman" w:hAnsi="Times New Roman"/>
          <w:noProof/>
          <w:sz w:val="24"/>
          <w:szCs w:val="24"/>
          <w:lang w:val="en-IE"/>
        </w:rPr>
        <w:t>‘mobile’ EU citizens (citizens who have moved to live, work or study in another Member State)</w:t>
      </w:r>
      <w:r w:rsidRPr="00BD00A9">
        <w:rPr>
          <w:rStyle w:val="FootnoteReference"/>
          <w:rFonts w:ascii="Times New Roman" w:hAnsi="Times New Roman"/>
          <w:noProof/>
          <w:sz w:val="24"/>
          <w:szCs w:val="24"/>
          <w:lang w:val="en-IE"/>
        </w:rPr>
        <w:footnoteReference w:id="82"/>
      </w:r>
      <w:r w:rsidR="001637D8" w:rsidRPr="00BD00A9">
        <w:rPr>
          <w:rFonts w:ascii="Times New Roman" w:hAnsi="Times New Roman"/>
          <w:noProof/>
          <w:sz w:val="24"/>
          <w:szCs w:val="24"/>
          <w:lang w:val="en-IE"/>
        </w:rPr>
        <w:t>. I</w:t>
      </w:r>
      <w:r w:rsidR="00E575BE" w:rsidRPr="00BD00A9">
        <w:rPr>
          <w:rFonts w:ascii="Times New Roman" w:hAnsi="Times New Roman"/>
          <w:noProof/>
          <w:sz w:val="24"/>
          <w:szCs w:val="24"/>
          <w:lang w:val="en-IE"/>
        </w:rPr>
        <w:t>n 2021</w:t>
      </w:r>
      <w:r w:rsidRPr="00BD00A9">
        <w:rPr>
          <w:rFonts w:ascii="Times New Roman" w:hAnsi="Times New Roman"/>
          <w:noProof/>
          <w:sz w:val="24"/>
          <w:szCs w:val="24"/>
          <w:lang w:val="en-IE"/>
        </w:rPr>
        <w:t>, for example</w:t>
      </w:r>
      <w:r w:rsidR="00E575BE" w:rsidRPr="00BD00A9">
        <w:rPr>
          <w:rFonts w:ascii="Times New Roman" w:hAnsi="Times New Roman"/>
          <w:noProof/>
          <w:sz w:val="24"/>
          <w:szCs w:val="24"/>
          <w:lang w:val="en-IE"/>
        </w:rPr>
        <w:t>, 1.4 million people previously residing in one EU Member State migrated to another Member State, an increase of almost 17% compared with 2020</w:t>
      </w:r>
      <w:r w:rsidR="00B72BB8" w:rsidRPr="00BD00A9">
        <w:rPr>
          <w:rStyle w:val="FootnoteReference"/>
          <w:rFonts w:ascii="Times New Roman" w:hAnsi="Times New Roman"/>
          <w:noProof/>
          <w:sz w:val="24"/>
          <w:szCs w:val="24"/>
          <w:lang w:val="en-IE"/>
        </w:rPr>
        <w:footnoteReference w:id="83"/>
      </w:r>
      <w:r w:rsidR="00E575BE" w:rsidRPr="00BD00A9">
        <w:rPr>
          <w:rFonts w:ascii="Times New Roman" w:hAnsi="Times New Roman"/>
          <w:noProof/>
          <w:sz w:val="24"/>
          <w:szCs w:val="24"/>
          <w:lang w:val="en-IE"/>
        </w:rPr>
        <w:t>.</w:t>
      </w:r>
    </w:p>
    <w:p w14:paraId="2B585CA6" w14:textId="41A069E4" w:rsidR="00CC7F51" w:rsidRPr="00BD00A9" w:rsidRDefault="00DD25C9" w:rsidP="00DD25C9">
      <w:pPr>
        <w:spacing w:after="240" w:line="276" w:lineRule="auto"/>
        <w:jc w:val="both"/>
        <w:rPr>
          <w:rFonts w:ascii="Times New Roman" w:hAnsi="Times New Roman"/>
          <w:noProof/>
          <w:sz w:val="24"/>
          <w:szCs w:val="24"/>
          <w:lang w:val="en-IE"/>
        </w:rPr>
      </w:pPr>
      <w:r w:rsidRPr="00BD00A9">
        <w:rPr>
          <w:rFonts w:ascii="Times New Roman" w:hAnsi="Times New Roman"/>
          <w:noProof/>
          <w:sz w:val="24"/>
          <w:szCs w:val="24"/>
          <w:lang w:val="en-IE"/>
        </w:rPr>
        <w:t xml:space="preserve">In the reporting period, the Commission dealt with </w:t>
      </w:r>
      <w:r w:rsidR="000B119A" w:rsidRPr="00BD00A9">
        <w:rPr>
          <w:rFonts w:ascii="Times New Roman" w:hAnsi="Times New Roman"/>
          <w:noProof/>
          <w:sz w:val="24"/>
          <w:szCs w:val="24"/>
          <w:lang w:val="en-IE"/>
        </w:rPr>
        <w:t>480</w:t>
      </w:r>
      <w:r w:rsidRPr="00BD00A9">
        <w:rPr>
          <w:rFonts w:ascii="Times New Roman" w:hAnsi="Times New Roman"/>
          <w:noProof/>
          <w:sz w:val="24"/>
          <w:szCs w:val="24"/>
          <w:lang w:val="en-IE"/>
        </w:rPr>
        <w:t xml:space="preserve"> complaints from citizens</w:t>
      </w:r>
      <w:r w:rsidR="00857079" w:rsidRPr="00BD00A9">
        <w:rPr>
          <w:rFonts w:ascii="Times New Roman" w:hAnsi="Times New Roman"/>
          <w:noProof/>
          <w:sz w:val="24"/>
          <w:szCs w:val="24"/>
          <w:lang w:val="en-IE"/>
        </w:rPr>
        <w:t xml:space="preserve"> and</w:t>
      </w:r>
      <w:r w:rsidRPr="00BD00A9">
        <w:rPr>
          <w:rFonts w:ascii="Times New Roman" w:hAnsi="Times New Roman"/>
          <w:noProof/>
          <w:sz w:val="24"/>
          <w:szCs w:val="24"/>
          <w:lang w:val="en-IE"/>
        </w:rPr>
        <w:t xml:space="preserve"> </w:t>
      </w:r>
      <w:r w:rsidR="003B46F1" w:rsidRPr="00BD00A9">
        <w:rPr>
          <w:rFonts w:ascii="Times New Roman" w:hAnsi="Times New Roman"/>
          <w:noProof/>
          <w:sz w:val="24"/>
          <w:szCs w:val="24"/>
          <w:lang w:val="en-IE"/>
        </w:rPr>
        <w:t>more than 4100</w:t>
      </w:r>
      <w:r w:rsidRPr="00BD00A9">
        <w:rPr>
          <w:rFonts w:ascii="Times New Roman" w:hAnsi="Times New Roman"/>
          <w:noProof/>
          <w:sz w:val="24"/>
          <w:szCs w:val="24"/>
          <w:lang w:val="en-IE"/>
        </w:rPr>
        <w:t xml:space="preserve"> </w:t>
      </w:r>
      <w:r w:rsidR="00857079" w:rsidRPr="00BD00A9">
        <w:rPr>
          <w:rFonts w:ascii="Times New Roman" w:hAnsi="Times New Roman"/>
          <w:noProof/>
          <w:sz w:val="24"/>
          <w:szCs w:val="24"/>
          <w:lang w:val="en-IE"/>
        </w:rPr>
        <w:t>letters/individual enquiries as regards the exercise of the right to free movement.</w:t>
      </w:r>
      <w:r w:rsidRPr="00BD00A9">
        <w:rPr>
          <w:rFonts w:ascii="Times New Roman" w:hAnsi="Times New Roman"/>
          <w:noProof/>
          <w:sz w:val="24"/>
          <w:szCs w:val="24"/>
          <w:lang w:val="en-IE"/>
        </w:rPr>
        <w:t xml:space="preserve"> Th</w:t>
      </w:r>
      <w:r w:rsidR="00D60057" w:rsidRPr="00BD00A9">
        <w:rPr>
          <w:rFonts w:ascii="Times New Roman" w:hAnsi="Times New Roman"/>
          <w:noProof/>
          <w:sz w:val="24"/>
          <w:szCs w:val="24"/>
          <w:lang w:val="en-IE"/>
        </w:rPr>
        <w:t>ese high numbers can</w:t>
      </w:r>
      <w:r w:rsidRPr="00BD00A9">
        <w:rPr>
          <w:rFonts w:ascii="Times New Roman" w:hAnsi="Times New Roman"/>
          <w:noProof/>
          <w:sz w:val="24"/>
          <w:szCs w:val="24"/>
          <w:lang w:val="en-IE"/>
        </w:rPr>
        <w:t xml:space="preserve"> </w:t>
      </w:r>
      <w:r w:rsidR="31131ED9" w:rsidRPr="00BD00A9">
        <w:rPr>
          <w:rFonts w:ascii="Times New Roman" w:hAnsi="Times New Roman"/>
          <w:noProof/>
          <w:sz w:val="24"/>
          <w:szCs w:val="24"/>
          <w:lang w:val="en-IE"/>
        </w:rPr>
        <w:t xml:space="preserve">partly </w:t>
      </w:r>
      <w:r w:rsidR="00D60057" w:rsidRPr="00BD00A9">
        <w:rPr>
          <w:rFonts w:ascii="Times New Roman" w:hAnsi="Times New Roman"/>
          <w:noProof/>
          <w:sz w:val="24"/>
          <w:szCs w:val="24"/>
          <w:lang w:val="en-IE"/>
        </w:rPr>
        <w:t xml:space="preserve">be </w:t>
      </w:r>
      <w:r w:rsidRPr="00BD00A9">
        <w:rPr>
          <w:rFonts w:ascii="Times New Roman" w:hAnsi="Times New Roman"/>
          <w:noProof/>
          <w:sz w:val="24"/>
          <w:szCs w:val="24"/>
          <w:lang w:val="en-IE"/>
        </w:rPr>
        <w:t xml:space="preserve">explained by the COVID-19 pandemic. </w:t>
      </w:r>
      <w:r w:rsidR="00F45CD2" w:rsidRPr="00BD00A9">
        <w:rPr>
          <w:rFonts w:ascii="Times New Roman" w:hAnsi="Times New Roman" w:cs="Times New Roman"/>
          <w:noProof/>
          <w:sz w:val="24"/>
          <w:szCs w:val="24"/>
          <w:lang w:val="en-IE"/>
        </w:rPr>
        <w:t>T</w:t>
      </w:r>
      <w:r w:rsidRPr="00BD00A9">
        <w:rPr>
          <w:rFonts w:ascii="Times New Roman" w:hAnsi="Times New Roman" w:cs="Times New Roman"/>
          <w:noProof/>
          <w:sz w:val="24"/>
          <w:szCs w:val="24"/>
          <w:lang w:val="en-IE"/>
        </w:rPr>
        <w:t>o limit the spread of COVID-19, EU Member States adopted various measures, some of which had an impact on citizens’ right to move freely across the E</w:t>
      </w:r>
      <w:r w:rsidR="00346966" w:rsidRPr="00BD00A9">
        <w:rPr>
          <w:rFonts w:ascii="Times New Roman" w:hAnsi="Times New Roman" w:cs="Times New Roman"/>
          <w:noProof/>
          <w:sz w:val="24"/>
          <w:szCs w:val="24"/>
          <w:lang w:val="en-IE"/>
        </w:rPr>
        <w:t>U</w:t>
      </w:r>
      <w:r w:rsidRPr="00BD00A9">
        <w:rPr>
          <w:rFonts w:ascii="Times New Roman" w:hAnsi="Times New Roman" w:cs="Times New Roman"/>
          <w:noProof/>
          <w:sz w:val="24"/>
          <w:szCs w:val="24"/>
          <w:lang w:val="en-IE"/>
        </w:rPr>
        <w:t>, such as requirements to undergo quarantine or a coronavirus test</w:t>
      </w:r>
      <w:r w:rsidR="009175EC" w:rsidRPr="00BD00A9">
        <w:rPr>
          <w:rFonts w:ascii="Times New Roman" w:hAnsi="Times New Roman" w:cs="Times New Roman"/>
          <w:noProof/>
          <w:sz w:val="24"/>
          <w:szCs w:val="24"/>
          <w:lang w:val="en-IE"/>
        </w:rPr>
        <w:t xml:space="preserve"> </w:t>
      </w:r>
      <w:r w:rsidR="009175EC" w:rsidRPr="00BD00A9">
        <w:rPr>
          <w:rFonts w:ascii="Times New Roman" w:hAnsi="Times New Roman" w:cs="Times New Roman"/>
          <w:i/>
          <w:iCs/>
          <w:noProof/>
          <w:sz w:val="24"/>
          <w:szCs w:val="24"/>
          <w:lang w:val="en-IE"/>
        </w:rPr>
        <w:t xml:space="preserve">(see also </w:t>
      </w:r>
      <w:r w:rsidR="00F45CD2" w:rsidRPr="00BD00A9">
        <w:rPr>
          <w:rFonts w:ascii="Times New Roman" w:hAnsi="Times New Roman" w:cs="Times New Roman"/>
          <w:i/>
          <w:iCs/>
          <w:noProof/>
          <w:sz w:val="24"/>
          <w:szCs w:val="24"/>
          <w:lang w:val="en-IE"/>
        </w:rPr>
        <w:t>S</w:t>
      </w:r>
      <w:r w:rsidR="009175EC" w:rsidRPr="00BD00A9">
        <w:rPr>
          <w:rFonts w:ascii="Times New Roman" w:hAnsi="Times New Roman" w:cs="Times New Roman"/>
          <w:i/>
          <w:iCs/>
          <w:noProof/>
          <w:sz w:val="24"/>
          <w:szCs w:val="24"/>
          <w:lang w:val="en-IE"/>
        </w:rPr>
        <w:t xml:space="preserve">ection </w:t>
      </w:r>
      <w:r w:rsidR="002F6F38" w:rsidRPr="00BD00A9">
        <w:rPr>
          <w:rFonts w:ascii="Times New Roman" w:hAnsi="Times New Roman" w:cs="Times New Roman"/>
          <w:i/>
          <w:iCs/>
          <w:noProof/>
          <w:sz w:val="24"/>
          <w:szCs w:val="24"/>
          <w:lang w:val="en-IE"/>
        </w:rPr>
        <w:t>6</w:t>
      </w:r>
      <w:r w:rsidR="009175EC" w:rsidRPr="00BD00A9">
        <w:rPr>
          <w:rFonts w:ascii="Times New Roman" w:hAnsi="Times New Roman" w:cs="Times New Roman"/>
          <w:i/>
          <w:iCs/>
          <w:noProof/>
          <w:sz w:val="24"/>
          <w:szCs w:val="24"/>
          <w:lang w:val="en-IE"/>
        </w:rPr>
        <w:t>.2.</w:t>
      </w:r>
      <w:r w:rsidR="002E1AD5" w:rsidRPr="00BD00A9">
        <w:rPr>
          <w:rFonts w:ascii="Times New Roman" w:hAnsi="Times New Roman" w:cs="Times New Roman"/>
          <w:i/>
          <w:iCs/>
          <w:noProof/>
          <w:sz w:val="24"/>
          <w:szCs w:val="24"/>
          <w:lang w:val="en-IE"/>
        </w:rPr>
        <w:t>3</w:t>
      </w:r>
      <w:r w:rsidR="009175EC" w:rsidRPr="00BD00A9">
        <w:rPr>
          <w:rFonts w:ascii="Times New Roman" w:hAnsi="Times New Roman" w:cs="Times New Roman"/>
          <w:i/>
          <w:iCs/>
          <w:noProof/>
          <w:sz w:val="24"/>
          <w:szCs w:val="24"/>
          <w:lang w:val="en-IE"/>
        </w:rPr>
        <w:t>)</w:t>
      </w:r>
      <w:r w:rsidRPr="00BD00A9">
        <w:rPr>
          <w:rFonts w:ascii="Times New Roman" w:hAnsi="Times New Roman" w:cs="Times New Roman"/>
          <w:noProof/>
          <w:sz w:val="24"/>
          <w:szCs w:val="24"/>
          <w:lang w:val="en-IE"/>
        </w:rPr>
        <w:t xml:space="preserve">. </w:t>
      </w:r>
      <w:r w:rsidR="00AD08C6" w:rsidRPr="00BD00A9">
        <w:rPr>
          <w:rFonts w:ascii="Times New Roman" w:hAnsi="Times New Roman"/>
          <w:noProof/>
          <w:sz w:val="24"/>
          <w:szCs w:val="24"/>
          <w:lang w:val="en-IE"/>
        </w:rPr>
        <w:t>Apart from</w:t>
      </w:r>
      <w:r w:rsidR="00EB1EF8" w:rsidRPr="00BD00A9">
        <w:rPr>
          <w:rFonts w:ascii="Times New Roman" w:hAnsi="Times New Roman"/>
          <w:noProof/>
          <w:sz w:val="24"/>
          <w:szCs w:val="24"/>
          <w:lang w:val="en-IE"/>
        </w:rPr>
        <w:t xml:space="preserve"> these COVID-1</w:t>
      </w:r>
      <w:r w:rsidR="00AD08C6" w:rsidRPr="00BD00A9">
        <w:rPr>
          <w:rFonts w:ascii="Times New Roman" w:hAnsi="Times New Roman"/>
          <w:noProof/>
          <w:sz w:val="24"/>
          <w:szCs w:val="24"/>
          <w:lang w:val="en-IE"/>
        </w:rPr>
        <w:t>9</w:t>
      </w:r>
      <w:r w:rsidR="00EB1EF8" w:rsidRPr="00BD00A9">
        <w:rPr>
          <w:rFonts w:ascii="Times New Roman" w:hAnsi="Times New Roman"/>
          <w:noProof/>
          <w:sz w:val="24"/>
          <w:szCs w:val="24"/>
          <w:lang w:val="en-IE"/>
        </w:rPr>
        <w:t xml:space="preserve"> related </w:t>
      </w:r>
      <w:r w:rsidR="004B76E7" w:rsidRPr="00BD00A9">
        <w:rPr>
          <w:rFonts w:ascii="Times New Roman" w:hAnsi="Times New Roman"/>
          <w:noProof/>
          <w:sz w:val="24"/>
          <w:szCs w:val="24"/>
          <w:lang w:val="en-IE"/>
        </w:rPr>
        <w:t>enquiries</w:t>
      </w:r>
      <w:r w:rsidR="00AD08C6" w:rsidRPr="00BD00A9">
        <w:rPr>
          <w:rFonts w:ascii="Times New Roman" w:hAnsi="Times New Roman"/>
          <w:noProof/>
          <w:sz w:val="24"/>
          <w:szCs w:val="24"/>
          <w:lang w:val="en-IE"/>
        </w:rPr>
        <w:t>,</w:t>
      </w:r>
      <w:r w:rsidR="0089313A" w:rsidRPr="00BD00A9">
        <w:rPr>
          <w:rFonts w:ascii="Times New Roman" w:hAnsi="Times New Roman"/>
          <w:noProof/>
          <w:sz w:val="24"/>
          <w:szCs w:val="24"/>
          <w:lang w:val="en-IE"/>
        </w:rPr>
        <w:t xml:space="preserve"> many</w:t>
      </w:r>
      <w:r w:rsidR="00AD08C6" w:rsidRPr="00BD00A9">
        <w:rPr>
          <w:rFonts w:ascii="Times New Roman" w:hAnsi="Times New Roman"/>
          <w:noProof/>
          <w:sz w:val="24"/>
          <w:szCs w:val="24"/>
          <w:lang w:val="en-IE"/>
        </w:rPr>
        <w:t xml:space="preserve"> </w:t>
      </w:r>
      <w:r w:rsidR="0089313A" w:rsidRPr="00BD00A9">
        <w:rPr>
          <w:rFonts w:ascii="Times New Roman" w:hAnsi="Times New Roman"/>
          <w:noProof/>
          <w:sz w:val="24"/>
          <w:szCs w:val="24"/>
          <w:lang w:val="en-IE"/>
        </w:rPr>
        <w:t xml:space="preserve">other </w:t>
      </w:r>
      <w:r w:rsidRPr="00BD00A9">
        <w:rPr>
          <w:rFonts w:ascii="Times New Roman" w:hAnsi="Times New Roman"/>
          <w:noProof/>
          <w:sz w:val="24"/>
          <w:szCs w:val="24"/>
          <w:lang w:val="en-IE"/>
        </w:rPr>
        <w:t xml:space="preserve">complaints and questions concerned the right of entry and residence of non-EU family members of EU citizens (conditions for issuing visas and residence cards, additional formalities) and the conditions under which EU citizens can exercise their right to free movement. </w:t>
      </w:r>
      <w:r w:rsidR="00EE5C76" w:rsidRPr="00BD00A9">
        <w:rPr>
          <w:rFonts w:ascii="Times New Roman" w:hAnsi="Times New Roman"/>
          <w:noProof/>
          <w:sz w:val="24"/>
          <w:szCs w:val="24"/>
          <w:lang w:val="en-IE"/>
        </w:rPr>
        <w:t xml:space="preserve">The Commission also dealt with 101 questions and 13 petitions from the European Parliament </w:t>
      </w:r>
      <w:r w:rsidR="00F45CD2" w:rsidRPr="00BD00A9">
        <w:rPr>
          <w:rFonts w:ascii="Times New Roman" w:hAnsi="Times New Roman"/>
          <w:noProof/>
          <w:sz w:val="24"/>
          <w:szCs w:val="24"/>
          <w:lang w:val="en-IE"/>
        </w:rPr>
        <w:t>concerning</w:t>
      </w:r>
      <w:r w:rsidR="00EE5C76" w:rsidRPr="00BD00A9">
        <w:rPr>
          <w:rFonts w:ascii="Times New Roman" w:hAnsi="Times New Roman"/>
          <w:noProof/>
          <w:sz w:val="24"/>
          <w:szCs w:val="24"/>
          <w:lang w:val="en-IE"/>
        </w:rPr>
        <w:t xml:space="preserve"> free movement. </w:t>
      </w:r>
      <w:r w:rsidR="004E073E" w:rsidRPr="00BD00A9">
        <w:rPr>
          <w:rFonts w:ascii="Times New Roman" w:hAnsi="Times New Roman"/>
          <w:noProof/>
          <w:sz w:val="24"/>
          <w:szCs w:val="24"/>
          <w:lang w:val="en-IE"/>
        </w:rPr>
        <w:t>Most</w:t>
      </w:r>
      <w:r w:rsidR="00EE5C76" w:rsidRPr="00BD00A9">
        <w:rPr>
          <w:rFonts w:ascii="Times New Roman" w:hAnsi="Times New Roman"/>
          <w:noProof/>
          <w:sz w:val="24"/>
          <w:szCs w:val="24"/>
          <w:lang w:val="en-IE"/>
        </w:rPr>
        <w:t xml:space="preserve"> of these also related to the exercise of free movement during the COVID-19 pandemic, and</w:t>
      </w:r>
      <w:r w:rsidR="00F45CD2" w:rsidRPr="00BD00A9">
        <w:rPr>
          <w:rFonts w:ascii="Times New Roman" w:hAnsi="Times New Roman"/>
          <w:noProof/>
          <w:sz w:val="24"/>
          <w:szCs w:val="24"/>
          <w:lang w:val="en-IE"/>
        </w:rPr>
        <w:t>,</w:t>
      </w:r>
      <w:r w:rsidR="00EE5C76" w:rsidRPr="00BD00A9">
        <w:rPr>
          <w:rFonts w:ascii="Times New Roman" w:hAnsi="Times New Roman"/>
          <w:noProof/>
          <w:sz w:val="24"/>
          <w:szCs w:val="24"/>
          <w:lang w:val="en-IE"/>
        </w:rPr>
        <w:t xml:space="preserve"> in particular</w:t>
      </w:r>
      <w:r w:rsidR="00F45CD2" w:rsidRPr="00BD00A9">
        <w:rPr>
          <w:rFonts w:ascii="Times New Roman" w:hAnsi="Times New Roman"/>
          <w:noProof/>
          <w:sz w:val="24"/>
          <w:szCs w:val="24"/>
          <w:lang w:val="en-IE"/>
        </w:rPr>
        <w:t>,</w:t>
      </w:r>
      <w:r w:rsidR="00EE5C76" w:rsidRPr="00BD00A9">
        <w:rPr>
          <w:rFonts w:ascii="Times New Roman" w:hAnsi="Times New Roman"/>
          <w:noProof/>
          <w:sz w:val="24"/>
          <w:szCs w:val="24"/>
          <w:lang w:val="en-IE"/>
        </w:rPr>
        <w:t xml:space="preserve"> the use of the EU Digital COVID Certificate.</w:t>
      </w:r>
      <w:r w:rsidR="00CC7F51" w:rsidRPr="00BD00A9">
        <w:rPr>
          <w:rFonts w:ascii="Times New Roman" w:hAnsi="Times New Roman"/>
          <w:noProof/>
          <w:sz w:val="24"/>
          <w:szCs w:val="24"/>
          <w:lang w:val="en-IE"/>
        </w:rPr>
        <w:t xml:space="preserve"> </w:t>
      </w:r>
    </w:p>
    <w:p w14:paraId="62277A23" w14:textId="211BBFF2" w:rsidR="00DD25C9" w:rsidRPr="00BD00A9" w:rsidRDefault="00DD25C9" w:rsidP="00DD25C9">
      <w:pPr>
        <w:spacing w:after="240" w:line="276" w:lineRule="auto"/>
        <w:jc w:val="both"/>
        <w:rPr>
          <w:rFonts w:ascii="Times New Roman" w:hAnsi="Times New Roman"/>
          <w:noProof/>
          <w:sz w:val="24"/>
          <w:szCs w:val="24"/>
          <w:lang w:val="en-IE"/>
        </w:rPr>
      </w:pPr>
      <w:r w:rsidRPr="00BD00A9">
        <w:rPr>
          <w:rFonts w:ascii="Times New Roman" w:hAnsi="Times New Roman"/>
          <w:noProof/>
          <w:sz w:val="24"/>
          <w:szCs w:val="24"/>
          <w:lang w:val="en-IE"/>
        </w:rPr>
        <w:t>Citizens</w:t>
      </w:r>
      <w:r w:rsidR="00E31958" w:rsidRPr="00BD00A9">
        <w:rPr>
          <w:rFonts w:ascii="Times New Roman" w:hAnsi="Times New Roman"/>
          <w:noProof/>
          <w:sz w:val="24"/>
          <w:szCs w:val="24"/>
          <w:lang w:val="en-IE"/>
        </w:rPr>
        <w:t xml:space="preserve"> </w:t>
      </w:r>
      <w:r w:rsidRPr="00BD00A9">
        <w:rPr>
          <w:rFonts w:ascii="Times New Roman" w:hAnsi="Times New Roman"/>
          <w:noProof/>
          <w:sz w:val="24"/>
          <w:szCs w:val="24"/>
          <w:lang w:val="en-IE"/>
        </w:rPr>
        <w:t xml:space="preserve">also </w:t>
      </w:r>
      <w:r w:rsidR="00F45CD2" w:rsidRPr="00BD00A9">
        <w:rPr>
          <w:rFonts w:ascii="Times New Roman" w:hAnsi="Times New Roman"/>
          <w:noProof/>
          <w:sz w:val="24"/>
          <w:szCs w:val="24"/>
          <w:lang w:val="en-IE"/>
        </w:rPr>
        <w:t>addressed</w:t>
      </w:r>
      <w:r w:rsidRPr="00BD00A9">
        <w:rPr>
          <w:rFonts w:ascii="Times New Roman" w:hAnsi="Times New Roman"/>
          <w:noProof/>
          <w:sz w:val="24"/>
          <w:szCs w:val="24"/>
          <w:lang w:val="en-IE"/>
        </w:rPr>
        <w:t xml:space="preserve"> questions </w:t>
      </w:r>
      <w:r w:rsidR="00F45CD2" w:rsidRPr="00BD00A9">
        <w:rPr>
          <w:rFonts w:ascii="Times New Roman" w:hAnsi="Times New Roman"/>
          <w:noProof/>
          <w:sz w:val="24"/>
          <w:szCs w:val="24"/>
          <w:lang w:val="en-IE"/>
        </w:rPr>
        <w:t>about</w:t>
      </w:r>
      <w:r w:rsidRPr="00BD00A9">
        <w:rPr>
          <w:rFonts w:ascii="Times New Roman" w:hAnsi="Times New Roman"/>
          <w:noProof/>
          <w:sz w:val="24"/>
          <w:szCs w:val="24"/>
          <w:lang w:val="en-IE"/>
        </w:rPr>
        <w:t xml:space="preserve"> their personal EU rights to the Your Europe Advice service</w:t>
      </w:r>
      <w:r w:rsidRPr="00BD00A9">
        <w:rPr>
          <w:rStyle w:val="FootnoteReference"/>
          <w:rFonts w:ascii="Times New Roman" w:hAnsi="Times New Roman"/>
          <w:noProof/>
          <w:sz w:val="24"/>
          <w:szCs w:val="24"/>
          <w:lang w:val="en-IE"/>
        </w:rPr>
        <w:footnoteReference w:id="84"/>
      </w:r>
      <w:r w:rsidRPr="00BD00A9">
        <w:rPr>
          <w:rFonts w:ascii="Times New Roman" w:hAnsi="Times New Roman"/>
          <w:noProof/>
          <w:sz w:val="24"/>
          <w:szCs w:val="24"/>
          <w:lang w:val="en-IE"/>
        </w:rPr>
        <w:t>. Between 20</w:t>
      </w:r>
      <w:r w:rsidR="003E4FED" w:rsidRPr="00BD00A9">
        <w:rPr>
          <w:rFonts w:ascii="Times New Roman" w:hAnsi="Times New Roman"/>
          <w:noProof/>
          <w:sz w:val="24"/>
          <w:szCs w:val="24"/>
          <w:lang w:val="en-IE"/>
        </w:rPr>
        <w:t>21</w:t>
      </w:r>
      <w:r w:rsidRPr="00BD00A9">
        <w:rPr>
          <w:rFonts w:ascii="Times New Roman" w:hAnsi="Times New Roman"/>
          <w:noProof/>
          <w:sz w:val="24"/>
          <w:szCs w:val="24"/>
          <w:lang w:val="en-IE"/>
        </w:rPr>
        <w:t xml:space="preserve"> and 202</w:t>
      </w:r>
      <w:r w:rsidR="003E4FED" w:rsidRPr="00BD00A9">
        <w:rPr>
          <w:rFonts w:ascii="Times New Roman" w:hAnsi="Times New Roman"/>
          <w:noProof/>
          <w:sz w:val="24"/>
          <w:szCs w:val="24"/>
          <w:lang w:val="en-IE"/>
        </w:rPr>
        <w:t>3</w:t>
      </w:r>
      <w:r w:rsidR="003E4FED" w:rsidRPr="00BD00A9">
        <w:rPr>
          <w:rStyle w:val="FootnoteReference"/>
          <w:rFonts w:ascii="Times New Roman" w:hAnsi="Times New Roman"/>
          <w:noProof/>
          <w:sz w:val="24"/>
          <w:szCs w:val="24"/>
          <w:lang w:val="en-IE"/>
        </w:rPr>
        <w:footnoteReference w:id="85"/>
      </w:r>
      <w:r w:rsidR="003E4FED" w:rsidRPr="00BD00A9">
        <w:rPr>
          <w:rFonts w:ascii="Times New Roman" w:hAnsi="Times New Roman"/>
          <w:noProof/>
          <w:sz w:val="24"/>
          <w:szCs w:val="24"/>
          <w:lang w:val="en-IE"/>
        </w:rPr>
        <w:t xml:space="preserve">, </w:t>
      </w:r>
      <w:r w:rsidRPr="00BD00A9">
        <w:rPr>
          <w:rFonts w:ascii="Times New Roman" w:hAnsi="Times New Roman"/>
          <w:noProof/>
          <w:sz w:val="24"/>
          <w:szCs w:val="24"/>
          <w:lang w:val="en-IE"/>
        </w:rPr>
        <w:t xml:space="preserve">Your Europe Advice received more than </w:t>
      </w:r>
      <w:r w:rsidR="003E4FED" w:rsidRPr="00BD00A9">
        <w:rPr>
          <w:rFonts w:ascii="Times New Roman" w:hAnsi="Times New Roman"/>
          <w:noProof/>
          <w:sz w:val="24"/>
          <w:szCs w:val="24"/>
          <w:lang w:val="en-IE"/>
        </w:rPr>
        <w:t>18</w:t>
      </w:r>
      <w:r w:rsidR="00EE3034" w:rsidRPr="00BD00A9">
        <w:rPr>
          <w:rFonts w:ascii="Times New Roman" w:hAnsi="Times New Roman"/>
          <w:noProof/>
          <w:sz w:val="24"/>
          <w:szCs w:val="24"/>
          <w:lang w:val="en-IE"/>
        </w:rPr>
        <w:t xml:space="preserve"> </w:t>
      </w:r>
      <w:r w:rsidR="003E4FED" w:rsidRPr="00BD00A9">
        <w:rPr>
          <w:rFonts w:ascii="Times New Roman" w:hAnsi="Times New Roman"/>
          <w:noProof/>
          <w:sz w:val="24"/>
          <w:szCs w:val="24"/>
          <w:lang w:val="en-IE"/>
        </w:rPr>
        <w:t>899</w:t>
      </w:r>
      <w:r w:rsidRPr="00BD00A9">
        <w:rPr>
          <w:rFonts w:ascii="Times New Roman" w:hAnsi="Times New Roman"/>
          <w:noProof/>
          <w:sz w:val="24"/>
          <w:szCs w:val="24"/>
          <w:lang w:val="en-IE"/>
        </w:rPr>
        <w:t xml:space="preserve"> enquiries on entry procedures and residence rights and more than </w:t>
      </w:r>
      <w:r w:rsidR="003E4FED" w:rsidRPr="00BD00A9">
        <w:rPr>
          <w:rFonts w:ascii="Times New Roman" w:hAnsi="Times New Roman"/>
          <w:noProof/>
          <w:sz w:val="24"/>
          <w:szCs w:val="24"/>
          <w:lang w:val="en-IE"/>
        </w:rPr>
        <w:t>786</w:t>
      </w:r>
      <w:r w:rsidRPr="00BD00A9">
        <w:rPr>
          <w:rFonts w:ascii="Times New Roman" w:hAnsi="Times New Roman"/>
          <w:noProof/>
          <w:sz w:val="24"/>
          <w:szCs w:val="24"/>
          <w:lang w:val="en-IE"/>
        </w:rPr>
        <w:t xml:space="preserve"> enquiries on political and judicial rights.</w:t>
      </w:r>
      <w:r w:rsidR="00E20308" w:rsidRPr="00BD00A9">
        <w:rPr>
          <w:rFonts w:ascii="Times New Roman" w:hAnsi="Times New Roman"/>
          <w:noProof/>
          <w:sz w:val="24"/>
          <w:szCs w:val="24"/>
          <w:lang w:val="en-IE"/>
        </w:rPr>
        <w:t xml:space="preserve"> Together</w:t>
      </w:r>
      <w:r w:rsidR="00F45CD2" w:rsidRPr="00BD00A9">
        <w:rPr>
          <w:rFonts w:ascii="Times New Roman" w:hAnsi="Times New Roman"/>
          <w:noProof/>
          <w:sz w:val="24"/>
          <w:szCs w:val="24"/>
          <w:lang w:val="en-IE"/>
        </w:rPr>
        <w:t>,</w:t>
      </w:r>
      <w:r w:rsidR="00E20308" w:rsidRPr="00BD00A9">
        <w:rPr>
          <w:rFonts w:ascii="Times New Roman" w:hAnsi="Times New Roman"/>
          <w:noProof/>
          <w:sz w:val="24"/>
          <w:szCs w:val="24"/>
          <w:lang w:val="en-IE"/>
        </w:rPr>
        <w:t xml:space="preserve"> these topics cover 28% of all enquiries received by Your Europe Advice.</w:t>
      </w:r>
    </w:p>
    <w:p w14:paraId="42D82995" w14:textId="77359A76" w:rsidR="007A37E1" w:rsidRPr="00BD00A9" w:rsidRDefault="00E575BE" w:rsidP="007A37E1">
      <w:pPr>
        <w:spacing w:after="240" w:line="276" w:lineRule="auto"/>
        <w:jc w:val="both"/>
        <w:rPr>
          <w:rFonts w:ascii="Times New Roman" w:hAnsi="Times New Roman"/>
          <w:noProof/>
          <w:sz w:val="24"/>
          <w:szCs w:val="24"/>
          <w:lang w:val="en-IE"/>
        </w:rPr>
      </w:pPr>
      <w:r w:rsidRPr="00BD00A9">
        <w:rPr>
          <w:rFonts w:ascii="Times New Roman" w:hAnsi="Times New Roman"/>
          <w:noProof/>
          <w:sz w:val="24"/>
          <w:szCs w:val="24"/>
          <w:lang w:val="en-IE"/>
        </w:rPr>
        <w:t>M</w:t>
      </w:r>
      <w:r w:rsidR="007A37E1" w:rsidRPr="00BD00A9">
        <w:rPr>
          <w:rFonts w:ascii="Times New Roman" w:hAnsi="Times New Roman"/>
          <w:noProof/>
          <w:sz w:val="24"/>
          <w:szCs w:val="24"/>
          <w:lang w:val="en-IE"/>
        </w:rPr>
        <w:t xml:space="preserve">obile EU citizens who </w:t>
      </w:r>
      <w:r w:rsidR="00F45CD2" w:rsidRPr="00BD00A9">
        <w:rPr>
          <w:rFonts w:ascii="Times New Roman" w:hAnsi="Times New Roman"/>
          <w:noProof/>
          <w:sz w:val="24"/>
          <w:szCs w:val="24"/>
          <w:lang w:val="en-IE"/>
        </w:rPr>
        <w:t>have been</w:t>
      </w:r>
      <w:r w:rsidR="007A37E1" w:rsidRPr="00BD00A9">
        <w:rPr>
          <w:rFonts w:ascii="Times New Roman" w:hAnsi="Times New Roman"/>
          <w:noProof/>
          <w:sz w:val="24"/>
          <w:szCs w:val="24"/>
          <w:lang w:val="en-IE"/>
        </w:rPr>
        <w:t xml:space="preserve"> negatively affected by </w:t>
      </w:r>
      <w:r w:rsidR="00F45CD2" w:rsidRPr="00BD00A9">
        <w:rPr>
          <w:rFonts w:ascii="Times New Roman" w:hAnsi="Times New Roman"/>
          <w:noProof/>
          <w:sz w:val="24"/>
          <w:szCs w:val="24"/>
          <w:lang w:val="en-IE"/>
        </w:rPr>
        <w:t xml:space="preserve">the </w:t>
      </w:r>
      <w:r w:rsidR="007A37E1" w:rsidRPr="00BD00A9">
        <w:rPr>
          <w:rFonts w:ascii="Times New Roman" w:hAnsi="Times New Roman"/>
          <w:noProof/>
          <w:sz w:val="24"/>
          <w:szCs w:val="24"/>
          <w:lang w:val="en-IE"/>
        </w:rPr>
        <w:t>incorrect application of EU law by public authorities can also get help from SOLVIT</w:t>
      </w:r>
      <w:r w:rsidR="007A37E1" w:rsidRPr="00BD00A9">
        <w:rPr>
          <w:rStyle w:val="FootnoteReference"/>
          <w:rFonts w:ascii="Times New Roman" w:hAnsi="Times New Roman"/>
          <w:noProof/>
          <w:sz w:val="24"/>
          <w:szCs w:val="24"/>
          <w:lang w:val="en-IE"/>
        </w:rPr>
        <w:footnoteReference w:id="86"/>
      </w:r>
      <w:r w:rsidR="007A37E1" w:rsidRPr="00BD00A9">
        <w:rPr>
          <w:rFonts w:ascii="Times New Roman" w:hAnsi="Times New Roman"/>
          <w:noProof/>
          <w:sz w:val="24"/>
          <w:szCs w:val="24"/>
          <w:lang w:val="en-IE"/>
        </w:rPr>
        <w:t xml:space="preserve">, which was </w:t>
      </w:r>
      <w:r w:rsidR="00F45CD2" w:rsidRPr="00BD00A9">
        <w:rPr>
          <w:rFonts w:ascii="Times New Roman" w:hAnsi="Times New Roman"/>
          <w:noProof/>
          <w:sz w:val="24"/>
          <w:szCs w:val="24"/>
          <w:lang w:val="en-IE"/>
        </w:rPr>
        <w:t>set up</w:t>
      </w:r>
      <w:r w:rsidR="007A37E1" w:rsidRPr="00BD00A9">
        <w:rPr>
          <w:rFonts w:ascii="Times New Roman" w:hAnsi="Times New Roman"/>
          <w:noProof/>
          <w:sz w:val="24"/>
          <w:szCs w:val="24"/>
          <w:lang w:val="en-IE"/>
        </w:rPr>
        <w:t xml:space="preserve"> to react quickly and find solutions at national level. From 2020 to 2023</w:t>
      </w:r>
      <w:r w:rsidR="007A37E1" w:rsidRPr="00BD00A9">
        <w:rPr>
          <w:rStyle w:val="FootnoteReference"/>
          <w:rFonts w:ascii="Times New Roman" w:hAnsi="Times New Roman"/>
          <w:noProof/>
          <w:sz w:val="24"/>
          <w:szCs w:val="24"/>
          <w:lang w:val="en-IE"/>
        </w:rPr>
        <w:footnoteReference w:id="87"/>
      </w:r>
      <w:r w:rsidR="007A37E1" w:rsidRPr="00BD00A9">
        <w:rPr>
          <w:rFonts w:ascii="Times New Roman" w:hAnsi="Times New Roman"/>
          <w:noProof/>
          <w:sz w:val="24"/>
          <w:szCs w:val="24"/>
          <w:lang w:val="en-IE"/>
        </w:rPr>
        <w:t xml:space="preserve">, SOLVIT handled around 994 cases </w:t>
      </w:r>
      <w:r w:rsidR="00F45CD2" w:rsidRPr="00BD00A9">
        <w:rPr>
          <w:rFonts w:ascii="Times New Roman" w:hAnsi="Times New Roman"/>
          <w:noProof/>
          <w:sz w:val="24"/>
          <w:szCs w:val="24"/>
          <w:lang w:val="en-IE"/>
        </w:rPr>
        <w:t>involving</w:t>
      </w:r>
      <w:r w:rsidR="007A37E1" w:rsidRPr="00BD00A9">
        <w:rPr>
          <w:rFonts w:ascii="Times New Roman" w:hAnsi="Times New Roman"/>
          <w:noProof/>
          <w:sz w:val="24"/>
          <w:szCs w:val="24"/>
          <w:lang w:val="en-IE"/>
        </w:rPr>
        <w:t xml:space="preserve"> the free movement of persons. </w:t>
      </w:r>
    </w:p>
    <w:p w14:paraId="1F8569CF" w14:textId="707A8D57" w:rsidR="00DD25C9" w:rsidRPr="00BD00A9" w:rsidRDefault="00DD25C9" w:rsidP="00DD25C9">
      <w:pPr>
        <w:spacing w:after="240" w:line="276" w:lineRule="auto"/>
        <w:jc w:val="both"/>
        <w:rPr>
          <w:rFonts w:ascii="Times New Roman" w:hAnsi="Times New Roman"/>
          <w:noProof/>
          <w:sz w:val="24"/>
          <w:szCs w:val="24"/>
          <w:lang w:val="en-IE"/>
        </w:rPr>
      </w:pPr>
      <w:r w:rsidRPr="00BD00A9">
        <w:rPr>
          <w:rFonts w:ascii="Times New Roman" w:hAnsi="Times New Roman"/>
          <w:noProof/>
          <w:sz w:val="24"/>
          <w:szCs w:val="24"/>
          <w:lang w:val="en-IE"/>
        </w:rPr>
        <w:t xml:space="preserve">EU citizens can </w:t>
      </w:r>
      <w:r w:rsidR="00F45CD2" w:rsidRPr="00BD00A9">
        <w:rPr>
          <w:rFonts w:ascii="Times New Roman" w:hAnsi="Times New Roman"/>
          <w:noProof/>
          <w:sz w:val="24"/>
          <w:szCs w:val="24"/>
          <w:lang w:val="en-IE"/>
        </w:rPr>
        <w:t xml:space="preserve">also send enquiries to </w:t>
      </w:r>
      <w:r w:rsidRPr="00BD00A9">
        <w:rPr>
          <w:rFonts w:ascii="Times New Roman" w:hAnsi="Times New Roman"/>
          <w:noProof/>
          <w:sz w:val="24"/>
          <w:szCs w:val="24"/>
          <w:lang w:val="en-IE"/>
        </w:rPr>
        <w:t xml:space="preserve">the Commission’s Europe Direct </w:t>
      </w:r>
      <w:r w:rsidR="004E3A0C" w:rsidRPr="00BD00A9">
        <w:rPr>
          <w:rFonts w:ascii="Times New Roman" w:hAnsi="Times New Roman"/>
          <w:noProof/>
          <w:sz w:val="24"/>
          <w:szCs w:val="24"/>
          <w:lang w:val="en-IE"/>
        </w:rPr>
        <w:t xml:space="preserve">Contact </w:t>
      </w:r>
      <w:r w:rsidRPr="00BD00A9">
        <w:rPr>
          <w:rFonts w:ascii="Times New Roman" w:hAnsi="Times New Roman"/>
          <w:noProof/>
          <w:sz w:val="24"/>
          <w:szCs w:val="24"/>
          <w:lang w:val="en-IE"/>
        </w:rPr>
        <w:t xml:space="preserve">Centre (EDCC). Between </w:t>
      </w:r>
      <w:r w:rsidR="00F05F68" w:rsidRPr="00BD00A9">
        <w:rPr>
          <w:rFonts w:ascii="Times New Roman" w:hAnsi="Times New Roman"/>
          <w:noProof/>
          <w:sz w:val="24"/>
          <w:szCs w:val="24"/>
          <w:lang w:val="en-IE"/>
        </w:rPr>
        <w:t>2021 and 2023</w:t>
      </w:r>
      <w:r w:rsidRPr="00BD00A9">
        <w:rPr>
          <w:rFonts w:ascii="Times New Roman" w:hAnsi="Times New Roman"/>
          <w:noProof/>
          <w:sz w:val="24"/>
          <w:szCs w:val="24"/>
          <w:lang w:val="en-IE"/>
        </w:rPr>
        <w:t>, the EDCC re</w:t>
      </w:r>
      <w:r w:rsidR="00F05F68" w:rsidRPr="00BD00A9">
        <w:rPr>
          <w:rFonts w:ascii="Times New Roman" w:hAnsi="Times New Roman"/>
          <w:noProof/>
          <w:sz w:val="24"/>
          <w:szCs w:val="24"/>
          <w:lang w:val="en-IE"/>
        </w:rPr>
        <w:t>plied to</w:t>
      </w:r>
      <w:r w:rsidRPr="00BD00A9">
        <w:rPr>
          <w:rFonts w:ascii="Times New Roman" w:hAnsi="Times New Roman"/>
          <w:noProof/>
          <w:sz w:val="24"/>
          <w:szCs w:val="24"/>
          <w:lang w:val="en-IE"/>
        </w:rPr>
        <w:t xml:space="preserve"> a total of </w:t>
      </w:r>
      <w:r w:rsidR="00F05F68" w:rsidRPr="00BD00A9">
        <w:rPr>
          <w:rFonts w:ascii="Times New Roman" w:hAnsi="Times New Roman"/>
          <w:noProof/>
          <w:sz w:val="24"/>
          <w:szCs w:val="24"/>
          <w:lang w:val="en-IE"/>
        </w:rPr>
        <w:t>almost 17 000</w:t>
      </w:r>
      <w:r w:rsidRPr="00BD00A9">
        <w:rPr>
          <w:rFonts w:ascii="Times New Roman" w:hAnsi="Times New Roman"/>
          <w:noProof/>
          <w:sz w:val="24"/>
          <w:szCs w:val="24"/>
          <w:lang w:val="en-IE"/>
        </w:rPr>
        <w:t xml:space="preserve"> enquiries on the free movement of persons</w:t>
      </w:r>
      <w:r w:rsidR="00F05F68" w:rsidRPr="00BD00A9">
        <w:rPr>
          <w:rStyle w:val="FootnoteReference"/>
          <w:rFonts w:ascii="Times New Roman" w:hAnsi="Times New Roman"/>
          <w:noProof/>
          <w:sz w:val="24"/>
          <w:szCs w:val="24"/>
          <w:lang w:val="en-IE"/>
        </w:rPr>
        <w:footnoteReference w:id="88"/>
      </w:r>
      <w:r w:rsidRPr="00BD00A9">
        <w:rPr>
          <w:rFonts w:ascii="Times New Roman" w:hAnsi="Times New Roman"/>
          <w:noProof/>
          <w:sz w:val="24"/>
          <w:szCs w:val="24"/>
          <w:lang w:val="en-IE"/>
        </w:rPr>
        <w:t>.</w:t>
      </w:r>
    </w:p>
    <w:p w14:paraId="47CE20CE" w14:textId="613267A2" w:rsidR="00D855E4" w:rsidRPr="00BD00A9" w:rsidRDefault="00D855E4" w:rsidP="00D855E4">
      <w:pPr>
        <w:pStyle w:val="Heading2"/>
      </w:pPr>
      <w:bookmarkStart w:id="45" w:name="_Toc150854714"/>
      <w:bookmarkStart w:id="46" w:name="_Toc152502495"/>
      <w:r w:rsidRPr="00BD00A9">
        <w:t>Policy developments</w:t>
      </w:r>
      <w:bookmarkEnd w:id="45"/>
      <w:bookmarkEnd w:id="46"/>
    </w:p>
    <w:p w14:paraId="3E6B7144" w14:textId="0C32622C" w:rsidR="009C6B02" w:rsidRPr="00BD00A9" w:rsidRDefault="009C6B02" w:rsidP="009C6B02">
      <w:pPr>
        <w:pStyle w:val="Heading3"/>
        <w:rPr>
          <w:noProof/>
        </w:rPr>
      </w:pPr>
      <w:bookmarkStart w:id="47" w:name="_Toc150854715"/>
      <w:bookmarkStart w:id="48" w:name="_Toc152502496"/>
      <w:r w:rsidRPr="00BD00A9">
        <w:rPr>
          <w:noProof/>
        </w:rPr>
        <w:t>Facilitating free movement</w:t>
      </w:r>
      <w:bookmarkEnd w:id="47"/>
      <w:bookmarkEnd w:id="48"/>
      <w:r w:rsidR="00016549" w:rsidRPr="00BD00A9">
        <w:rPr>
          <w:noProof/>
        </w:rPr>
        <w:t xml:space="preserve"> </w:t>
      </w:r>
    </w:p>
    <w:p w14:paraId="58BBAD4C" w14:textId="0D7911D2" w:rsidR="00A7510E" w:rsidRPr="00BD00A9" w:rsidRDefault="009A1008" w:rsidP="001819A8">
      <w:pPr>
        <w:spacing w:after="240" w:line="276" w:lineRule="auto"/>
        <w:jc w:val="both"/>
        <w:rPr>
          <w:rFonts w:ascii="Times New Roman" w:hAnsi="Times New Roman"/>
          <w:noProof/>
          <w:sz w:val="24"/>
          <w:szCs w:val="24"/>
          <w:lang w:val="en-IE"/>
        </w:rPr>
      </w:pPr>
      <w:r w:rsidRPr="00BD00A9">
        <w:rPr>
          <w:rFonts w:ascii="Times New Roman" w:hAnsi="Times New Roman"/>
          <w:noProof/>
          <w:sz w:val="24"/>
          <w:szCs w:val="24"/>
          <w:lang w:val="en-GB"/>
        </w:rPr>
        <w:t>T</w:t>
      </w:r>
      <w:r w:rsidR="001819A8" w:rsidRPr="00BD00A9">
        <w:rPr>
          <w:rFonts w:ascii="Times New Roman" w:hAnsi="Times New Roman"/>
          <w:noProof/>
          <w:sz w:val="24"/>
          <w:szCs w:val="24"/>
          <w:lang w:val="en-IE"/>
        </w:rPr>
        <w:t xml:space="preserve">he Commission has recently taken a number of steps to ensure </w:t>
      </w:r>
      <w:r w:rsidR="00673003">
        <w:rPr>
          <w:rFonts w:ascii="Times New Roman" w:hAnsi="Times New Roman"/>
          <w:noProof/>
          <w:sz w:val="24"/>
          <w:szCs w:val="24"/>
          <w:lang w:val="en-IE"/>
        </w:rPr>
        <w:t xml:space="preserve">that </w:t>
      </w:r>
      <w:r w:rsidR="001819A8" w:rsidRPr="00BD00A9">
        <w:rPr>
          <w:rFonts w:ascii="Times New Roman" w:hAnsi="Times New Roman"/>
          <w:noProof/>
          <w:sz w:val="24"/>
          <w:szCs w:val="24"/>
          <w:lang w:val="en-IE"/>
        </w:rPr>
        <w:t>Member States fully comply with EU law</w:t>
      </w:r>
      <w:r w:rsidRPr="00BD00A9">
        <w:rPr>
          <w:rFonts w:ascii="Times New Roman" w:hAnsi="Times New Roman"/>
          <w:noProof/>
          <w:sz w:val="24"/>
          <w:szCs w:val="24"/>
          <w:lang w:val="en-IE"/>
        </w:rPr>
        <w:t xml:space="preserve"> on free movement</w:t>
      </w:r>
      <w:r w:rsidR="001819A8" w:rsidRPr="00BD00A9">
        <w:rPr>
          <w:rFonts w:ascii="Times New Roman" w:hAnsi="Times New Roman"/>
          <w:noProof/>
          <w:sz w:val="24"/>
          <w:szCs w:val="24"/>
          <w:lang w:val="en-IE"/>
        </w:rPr>
        <w:t>, including through infringement proceedings in cases of incompatibility of national legislation with EU law.</w:t>
      </w:r>
    </w:p>
    <w:p w14:paraId="61CAEBB4" w14:textId="1FD106EE" w:rsidR="004E3A0C" w:rsidRPr="00BD00A9" w:rsidRDefault="6D4AA639" w:rsidP="001819A8">
      <w:pPr>
        <w:spacing w:after="240" w:line="276" w:lineRule="auto"/>
        <w:jc w:val="both"/>
        <w:rPr>
          <w:rFonts w:ascii="Times New Roman" w:hAnsi="Times New Roman"/>
          <w:noProof/>
          <w:sz w:val="24"/>
          <w:szCs w:val="24"/>
          <w:lang w:val="en-GB"/>
        </w:rPr>
      </w:pPr>
      <w:r w:rsidRPr="00BD00A9">
        <w:rPr>
          <w:rFonts w:ascii="Times New Roman" w:hAnsi="Times New Roman"/>
          <w:noProof/>
          <w:sz w:val="24"/>
          <w:szCs w:val="24"/>
          <w:lang w:val="en-GB"/>
        </w:rPr>
        <w:t xml:space="preserve">As </w:t>
      </w:r>
      <w:r w:rsidR="002E1AD5" w:rsidRPr="00BD00A9">
        <w:rPr>
          <w:rFonts w:ascii="Times New Roman" w:hAnsi="Times New Roman"/>
          <w:noProof/>
          <w:sz w:val="24"/>
          <w:szCs w:val="24"/>
          <w:lang w:val="en-GB"/>
        </w:rPr>
        <w:t xml:space="preserve">explained above, and as </w:t>
      </w:r>
      <w:r w:rsidRPr="00BD00A9">
        <w:rPr>
          <w:rFonts w:ascii="Times New Roman" w:hAnsi="Times New Roman"/>
          <w:noProof/>
          <w:sz w:val="24"/>
          <w:szCs w:val="24"/>
          <w:lang w:val="en-GB"/>
        </w:rPr>
        <w:t xml:space="preserve">announced in the </w:t>
      </w:r>
      <w:r w:rsidR="004E3A0C" w:rsidRPr="00BD00A9">
        <w:rPr>
          <w:rFonts w:ascii="Times New Roman" w:hAnsi="Times New Roman"/>
          <w:noProof/>
          <w:sz w:val="24"/>
          <w:szCs w:val="24"/>
          <w:lang w:val="en-GB"/>
        </w:rPr>
        <w:t>‘</w:t>
      </w:r>
      <w:r w:rsidRPr="00BD00A9">
        <w:rPr>
          <w:rFonts w:ascii="Times New Roman" w:hAnsi="Times New Roman"/>
          <w:noProof/>
          <w:sz w:val="24"/>
          <w:szCs w:val="24"/>
          <w:lang w:val="en-GB"/>
        </w:rPr>
        <w:t>Citizenship Report 2020</w:t>
      </w:r>
      <w:r w:rsidR="004E3A0C" w:rsidRPr="00BD00A9">
        <w:rPr>
          <w:rFonts w:ascii="Times New Roman" w:hAnsi="Times New Roman"/>
          <w:noProof/>
          <w:sz w:val="24"/>
          <w:szCs w:val="24"/>
          <w:lang w:val="en-GB"/>
        </w:rPr>
        <w:t>’</w:t>
      </w:r>
      <w:r w:rsidRPr="00BD00A9">
        <w:rPr>
          <w:rFonts w:ascii="Times New Roman" w:hAnsi="Times New Roman"/>
          <w:noProof/>
          <w:sz w:val="24"/>
          <w:szCs w:val="24"/>
          <w:lang w:val="en-GB"/>
        </w:rPr>
        <w:t xml:space="preserve"> Communication, the Commission </w:t>
      </w:r>
      <w:r w:rsidR="19CEAAA8" w:rsidRPr="00BD00A9">
        <w:rPr>
          <w:rFonts w:ascii="Times New Roman" w:hAnsi="Times New Roman"/>
          <w:noProof/>
          <w:sz w:val="24"/>
          <w:szCs w:val="24"/>
          <w:lang w:val="en-GB"/>
        </w:rPr>
        <w:t xml:space="preserve">is now </w:t>
      </w:r>
      <w:r w:rsidR="19CEAAA8" w:rsidRPr="00BD00A9">
        <w:rPr>
          <w:rFonts w:ascii="Times New Roman" w:hAnsi="Times New Roman"/>
          <w:b/>
          <w:bCs/>
          <w:noProof/>
          <w:sz w:val="24"/>
          <w:szCs w:val="24"/>
          <w:lang w:val="en-GB"/>
        </w:rPr>
        <w:t xml:space="preserve">updating </w:t>
      </w:r>
      <w:r w:rsidRPr="00BD00A9">
        <w:rPr>
          <w:rFonts w:ascii="Times New Roman" w:hAnsi="Times New Roman"/>
          <w:b/>
          <w:bCs/>
          <w:noProof/>
          <w:sz w:val="24"/>
          <w:szCs w:val="24"/>
          <w:lang w:val="en-GB"/>
        </w:rPr>
        <w:t xml:space="preserve">the 2009 guidance </w:t>
      </w:r>
      <w:r w:rsidR="004C374D" w:rsidRPr="00BD00A9">
        <w:rPr>
          <w:rFonts w:ascii="Times New Roman" w:hAnsi="Times New Roman"/>
          <w:b/>
          <w:bCs/>
          <w:noProof/>
          <w:sz w:val="24"/>
          <w:szCs w:val="24"/>
          <w:lang w:val="en-GB"/>
        </w:rPr>
        <w:t>for better transposition and application of Directive 2004/38/EC</w:t>
      </w:r>
      <w:r w:rsidR="004C374D" w:rsidRPr="00BD00A9">
        <w:rPr>
          <w:rStyle w:val="FootnoteReference"/>
          <w:rFonts w:ascii="Times New Roman" w:hAnsi="Times New Roman"/>
          <w:b/>
          <w:bCs/>
          <w:noProof/>
          <w:sz w:val="24"/>
          <w:szCs w:val="24"/>
          <w:lang w:val="en-GB"/>
        </w:rPr>
        <w:footnoteReference w:id="89"/>
      </w:r>
      <w:r w:rsidR="004C374D" w:rsidRPr="00BD00A9">
        <w:rPr>
          <w:rFonts w:ascii="Times New Roman" w:hAnsi="Times New Roman"/>
          <w:b/>
          <w:bCs/>
          <w:noProof/>
          <w:sz w:val="24"/>
          <w:szCs w:val="24"/>
          <w:lang w:val="en-GB"/>
        </w:rPr>
        <w:t xml:space="preserve"> </w:t>
      </w:r>
      <w:r w:rsidR="004C374D" w:rsidRPr="00BD00A9">
        <w:rPr>
          <w:rFonts w:ascii="Times New Roman" w:hAnsi="Times New Roman"/>
          <w:noProof/>
          <w:sz w:val="24"/>
          <w:szCs w:val="24"/>
          <w:lang w:val="en-GB"/>
        </w:rPr>
        <w:t>(‘Free Movement Directive’)</w:t>
      </w:r>
      <w:r w:rsidRPr="00BD00A9">
        <w:rPr>
          <w:rFonts w:ascii="Times New Roman" w:hAnsi="Times New Roman"/>
          <w:noProof/>
          <w:sz w:val="24"/>
          <w:szCs w:val="24"/>
          <w:lang w:val="en-GB"/>
        </w:rPr>
        <w:t xml:space="preserve">, as part of the </w:t>
      </w:r>
      <w:r w:rsidR="004E3A0C" w:rsidRPr="00BD00A9">
        <w:rPr>
          <w:rFonts w:ascii="Times New Roman" w:hAnsi="Times New Roman"/>
          <w:noProof/>
          <w:sz w:val="24"/>
          <w:szCs w:val="24"/>
          <w:lang w:val="en-GB"/>
        </w:rPr>
        <w:t>‘</w:t>
      </w:r>
      <w:r w:rsidRPr="00BD00A9">
        <w:rPr>
          <w:rFonts w:ascii="Times New Roman" w:hAnsi="Times New Roman"/>
          <w:noProof/>
          <w:sz w:val="24"/>
          <w:szCs w:val="24"/>
          <w:lang w:val="en-GB"/>
        </w:rPr>
        <w:t>Citizenship Package</w:t>
      </w:r>
      <w:r w:rsidR="004E3A0C" w:rsidRPr="00BD00A9">
        <w:rPr>
          <w:rFonts w:ascii="Times New Roman" w:hAnsi="Times New Roman"/>
          <w:noProof/>
          <w:sz w:val="24"/>
          <w:szCs w:val="24"/>
          <w:lang w:val="en-GB"/>
        </w:rPr>
        <w:t>’</w:t>
      </w:r>
      <w:r w:rsidR="009F0D1B" w:rsidRPr="00BD00A9">
        <w:rPr>
          <w:noProof/>
          <w:lang w:val="en-GB"/>
        </w:rPr>
        <w:t>.</w:t>
      </w:r>
      <w:r w:rsidR="009F0D1B" w:rsidRPr="00BD00A9">
        <w:rPr>
          <w:rFonts w:ascii="Times New Roman" w:hAnsi="Times New Roman"/>
          <w:noProof/>
          <w:sz w:val="24"/>
          <w:szCs w:val="24"/>
          <w:lang w:val="en-GB"/>
        </w:rPr>
        <w:t xml:space="preserve"> </w:t>
      </w:r>
      <w:r w:rsidRPr="00BD00A9">
        <w:rPr>
          <w:rFonts w:ascii="Times New Roman" w:hAnsi="Times New Roman"/>
          <w:noProof/>
          <w:sz w:val="24"/>
          <w:szCs w:val="24"/>
          <w:lang w:val="en-GB"/>
        </w:rPr>
        <w:t xml:space="preserve">The guidance </w:t>
      </w:r>
      <w:r w:rsidR="1D512BB1" w:rsidRPr="00BD00A9">
        <w:rPr>
          <w:rFonts w:ascii="Times New Roman" w:hAnsi="Times New Roman"/>
          <w:noProof/>
          <w:sz w:val="24"/>
          <w:szCs w:val="24"/>
          <w:lang w:val="en-GB"/>
        </w:rPr>
        <w:t>provides legal interpretations, practical orientations and examples o</w:t>
      </w:r>
      <w:r w:rsidR="004E3A0C" w:rsidRPr="00BD00A9">
        <w:rPr>
          <w:rFonts w:ascii="Times New Roman" w:hAnsi="Times New Roman"/>
          <w:noProof/>
          <w:sz w:val="24"/>
          <w:szCs w:val="24"/>
          <w:lang w:val="en-GB"/>
        </w:rPr>
        <w:t>f</w:t>
      </w:r>
      <w:r w:rsidR="1D512BB1" w:rsidRPr="00BD00A9">
        <w:rPr>
          <w:rFonts w:ascii="Times New Roman" w:hAnsi="Times New Roman"/>
          <w:noProof/>
          <w:sz w:val="24"/>
          <w:szCs w:val="24"/>
          <w:lang w:val="en-GB"/>
        </w:rPr>
        <w:t xml:space="preserve"> </w:t>
      </w:r>
      <w:r w:rsidRPr="00BD00A9">
        <w:rPr>
          <w:rFonts w:ascii="Times New Roman" w:hAnsi="Times New Roman"/>
          <w:noProof/>
          <w:sz w:val="24"/>
          <w:szCs w:val="24"/>
          <w:lang w:val="en-GB"/>
        </w:rPr>
        <w:t xml:space="preserve">key </w:t>
      </w:r>
      <w:r w:rsidR="004E3A0C" w:rsidRPr="00BD00A9">
        <w:rPr>
          <w:rFonts w:ascii="Times New Roman" w:hAnsi="Times New Roman"/>
          <w:noProof/>
          <w:sz w:val="24"/>
          <w:szCs w:val="24"/>
          <w:lang w:val="en-GB"/>
        </w:rPr>
        <w:t xml:space="preserve">questions on the right of </w:t>
      </w:r>
      <w:r w:rsidRPr="00BD00A9">
        <w:rPr>
          <w:rFonts w:ascii="Times New Roman" w:hAnsi="Times New Roman"/>
          <w:noProof/>
          <w:sz w:val="24"/>
          <w:szCs w:val="24"/>
          <w:lang w:val="en-GB"/>
        </w:rPr>
        <w:t xml:space="preserve">free movement, including the scope of beneficiaries, entry requirements for EU citizens and their non-EU family members, residence rights for more than </w:t>
      </w:r>
      <w:r w:rsidR="004E3A0C" w:rsidRPr="00BD00A9">
        <w:rPr>
          <w:rFonts w:ascii="Times New Roman" w:hAnsi="Times New Roman"/>
          <w:noProof/>
          <w:sz w:val="24"/>
          <w:szCs w:val="24"/>
          <w:lang w:val="en-GB"/>
        </w:rPr>
        <w:t>3</w:t>
      </w:r>
      <w:r w:rsidRPr="00BD00A9">
        <w:rPr>
          <w:rFonts w:ascii="Times New Roman" w:hAnsi="Times New Roman"/>
          <w:noProof/>
          <w:sz w:val="24"/>
          <w:szCs w:val="24"/>
          <w:lang w:val="en-GB"/>
        </w:rPr>
        <w:t xml:space="preserve"> months and the right of permanent residence. </w:t>
      </w:r>
      <w:r w:rsidR="004E3A0C" w:rsidRPr="00BD00A9">
        <w:rPr>
          <w:rFonts w:ascii="Times New Roman" w:hAnsi="Times New Roman"/>
          <w:noProof/>
          <w:sz w:val="24"/>
          <w:szCs w:val="24"/>
          <w:lang w:val="en-GB"/>
        </w:rPr>
        <w:t>It also includes g</w:t>
      </w:r>
      <w:r w:rsidR="526C2CDE" w:rsidRPr="00BD00A9">
        <w:rPr>
          <w:rFonts w:ascii="Times New Roman" w:hAnsi="Times New Roman"/>
          <w:noProof/>
          <w:sz w:val="24"/>
          <w:szCs w:val="24"/>
          <w:lang w:val="en-GB"/>
        </w:rPr>
        <w:t xml:space="preserve">uidance </w:t>
      </w:r>
      <w:r w:rsidR="004E3A0C" w:rsidRPr="00BD00A9">
        <w:rPr>
          <w:rFonts w:ascii="Times New Roman" w:hAnsi="Times New Roman"/>
          <w:noProof/>
          <w:sz w:val="24"/>
          <w:szCs w:val="24"/>
          <w:lang w:val="en-GB"/>
        </w:rPr>
        <w:t>for</w:t>
      </w:r>
      <w:r w:rsidR="526C2CDE" w:rsidRPr="00BD00A9">
        <w:rPr>
          <w:rFonts w:ascii="Times New Roman" w:hAnsi="Times New Roman"/>
          <w:noProof/>
          <w:sz w:val="24"/>
          <w:szCs w:val="24"/>
          <w:lang w:val="en-GB"/>
        </w:rPr>
        <w:t xml:space="preserve"> EU citizens and their family members benefitting from equal treatment in accessing social assistance, social benefits and healthcare</w:t>
      </w:r>
      <w:r w:rsidR="008A6CDC">
        <w:rPr>
          <w:rStyle w:val="FootnoteReference"/>
          <w:rFonts w:ascii="Times New Roman" w:hAnsi="Times New Roman"/>
          <w:noProof/>
          <w:sz w:val="24"/>
          <w:szCs w:val="24"/>
          <w:lang w:val="en-GB"/>
        </w:rPr>
        <w:footnoteReference w:id="90"/>
      </w:r>
      <w:r w:rsidR="526C2CDE" w:rsidRPr="00BD00A9">
        <w:rPr>
          <w:rFonts w:ascii="Times New Roman" w:hAnsi="Times New Roman"/>
          <w:noProof/>
          <w:sz w:val="24"/>
          <w:szCs w:val="24"/>
          <w:lang w:val="en-GB"/>
        </w:rPr>
        <w:t xml:space="preserve"> in the host Member State, </w:t>
      </w:r>
      <w:r w:rsidR="004E3A0C" w:rsidRPr="00BD00A9">
        <w:rPr>
          <w:rFonts w:ascii="Times New Roman" w:hAnsi="Times New Roman"/>
          <w:noProof/>
          <w:sz w:val="24"/>
          <w:szCs w:val="24"/>
          <w:lang w:val="en-GB"/>
        </w:rPr>
        <w:t>and on</w:t>
      </w:r>
      <w:r w:rsidR="526C2CDE" w:rsidRPr="00BD00A9">
        <w:rPr>
          <w:rFonts w:ascii="Times New Roman" w:hAnsi="Times New Roman"/>
          <w:noProof/>
          <w:sz w:val="24"/>
          <w:szCs w:val="24"/>
          <w:lang w:val="en-GB"/>
        </w:rPr>
        <w:t xml:space="preserve"> the restrictions on free movement rights based on public policy and public security. </w:t>
      </w:r>
    </w:p>
    <w:p w14:paraId="3871D449" w14:textId="63E2FF19" w:rsidR="00875766" w:rsidRPr="00BD00A9" w:rsidRDefault="24CD362B" w:rsidP="001819A8">
      <w:pPr>
        <w:spacing w:after="240" w:line="276" w:lineRule="auto"/>
        <w:jc w:val="both"/>
        <w:rPr>
          <w:rFonts w:ascii="Times New Roman" w:hAnsi="Times New Roman"/>
          <w:noProof/>
          <w:sz w:val="24"/>
          <w:szCs w:val="24"/>
        </w:rPr>
      </w:pPr>
      <w:r w:rsidRPr="00BD00A9">
        <w:rPr>
          <w:rFonts w:ascii="Times New Roman" w:hAnsi="Times New Roman"/>
          <w:noProof/>
          <w:sz w:val="24"/>
          <w:szCs w:val="24"/>
        </w:rPr>
        <w:t xml:space="preserve">In line with the </w:t>
      </w:r>
      <w:r w:rsidR="00875766" w:rsidRPr="00BD00A9">
        <w:rPr>
          <w:rFonts w:ascii="Times New Roman" w:hAnsi="Times New Roman"/>
          <w:noProof/>
          <w:sz w:val="24"/>
          <w:szCs w:val="24"/>
          <w:lang w:val="en-GB"/>
        </w:rPr>
        <w:t>‘</w:t>
      </w:r>
      <w:r w:rsidR="009F0D1B" w:rsidRPr="00BD00A9">
        <w:rPr>
          <w:rFonts w:ascii="Times New Roman" w:hAnsi="Times New Roman"/>
          <w:noProof/>
          <w:sz w:val="24"/>
          <w:szCs w:val="24"/>
          <w:lang w:val="en-GB"/>
        </w:rPr>
        <w:t>Citizenship Report 2020</w:t>
      </w:r>
      <w:r w:rsidR="00875766" w:rsidRPr="00BD00A9">
        <w:rPr>
          <w:rFonts w:ascii="Times New Roman" w:hAnsi="Times New Roman"/>
          <w:noProof/>
          <w:sz w:val="24"/>
          <w:szCs w:val="24"/>
          <w:lang w:val="en-GB"/>
        </w:rPr>
        <w:t>’</w:t>
      </w:r>
      <w:r w:rsidR="009F0D1B" w:rsidRPr="00BD00A9">
        <w:rPr>
          <w:rFonts w:ascii="Times New Roman" w:hAnsi="Times New Roman"/>
          <w:noProof/>
          <w:sz w:val="24"/>
          <w:szCs w:val="24"/>
          <w:lang w:val="en-GB"/>
        </w:rPr>
        <w:t xml:space="preserve"> Communication</w:t>
      </w:r>
      <w:r w:rsidR="009F0D1B" w:rsidRPr="00BD00A9">
        <w:rPr>
          <w:rFonts w:ascii="Times New Roman" w:hAnsi="Times New Roman"/>
          <w:noProof/>
          <w:sz w:val="24"/>
          <w:szCs w:val="24"/>
        </w:rPr>
        <w:t xml:space="preserve"> </w:t>
      </w:r>
      <w:r w:rsidRPr="00BD00A9">
        <w:rPr>
          <w:rFonts w:ascii="Times New Roman" w:hAnsi="Times New Roman"/>
          <w:noProof/>
          <w:sz w:val="24"/>
          <w:szCs w:val="24"/>
        </w:rPr>
        <w:t xml:space="preserve">and </w:t>
      </w:r>
      <w:r w:rsidR="009F0D1B" w:rsidRPr="00BD00A9">
        <w:rPr>
          <w:rFonts w:ascii="Times New Roman" w:hAnsi="Times New Roman"/>
          <w:noProof/>
          <w:sz w:val="24"/>
          <w:szCs w:val="24"/>
        </w:rPr>
        <w:t xml:space="preserve">the </w:t>
      </w:r>
      <w:r w:rsidRPr="00BD00A9">
        <w:rPr>
          <w:rFonts w:ascii="Times New Roman" w:hAnsi="Times New Roman"/>
          <w:noProof/>
          <w:sz w:val="24"/>
          <w:szCs w:val="24"/>
        </w:rPr>
        <w:t>LGBTIQ Equality Strategy 2020-2025</w:t>
      </w:r>
      <w:r w:rsidR="009F0D1B" w:rsidRPr="00BD00A9">
        <w:rPr>
          <w:rStyle w:val="FootnoteReference"/>
          <w:rFonts w:ascii="Times New Roman" w:hAnsi="Times New Roman"/>
          <w:noProof/>
          <w:sz w:val="24"/>
          <w:szCs w:val="24"/>
        </w:rPr>
        <w:footnoteReference w:id="91"/>
      </w:r>
      <w:r w:rsidRPr="00BD00A9">
        <w:rPr>
          <w:rFonts w:ascii="Times New Roman" w:hAnsi="Times New Roman"/>
          <w:noProof/>
          <w:sz w:val="24"/>
          <w:szCs w:val="24"/>
        </w:rPr>
        <w:t>, t</w:t>
      </w:r>
      <w:r w:rsidR="6D4AA639" w:rsidRPr="00BD00A9">
        <w:rPr>
          <w:rFonts w:ascii="Times New Roman" w:hAnsi="Times New Roman"/>
          <w:noProof/>
          <w:sz w:val="24"/>
          <w:szCs w:val="24"/>
        </w:rPr>
        <w:t xml:space="preserve">he </w:t>
      </w:r>
      <w:r w:rsidRPr="00BD00A9">
        <w:rPr>
          <w:rFonts w:ascii="Times New Roman" w:hAnsi="Times New Roman"/>
          <w:noProof/>
          <w:sz w:val="24"/>
          <w:szCs w:val="24"/>
        </w:rPr>
        <w:t xml:space="preserve">reviewed </w:t>
      </w:r>
      <w:r w:rsidR="6D4AA639" w:rsidRPr="00BD00A9">
        <w:rPr>
          <w:rFonts w:ascii="Times New Roman" w:hAnsi="Times New Roman"/>
          <w:noProof/>
          <w:sz w:val="24"/>
          <w:szCs w:val="24"/>
        </w:rPr>
        <w:t xml:space="preserve">guidance </w:t>
      </w:r>
      <w:r w:rsidRPr="00BD00A9">
        <w:rPr>
          <w:rFonts w:ascii="Times New Roman" w:hAnsi="Times New Roman"/>
          <w:noProof/>
          <w:sz w:val="24"/>
          <w:szCs w:val="24"/>
        </w:rPr>
        <w:t>takes into account</w:t>
      </w:r>
      <w:r w:rsidR="6D4AA639" w:rsidRPr="00BD00A9">
        <w:rPr>
          <w:rFonts w:ascii="Times New Roman" w:hAnsi="Times New Roman"/>
          <w:noProof/>
          <w:sz w:val="24"/>
          <w:szCs w:val="24"/>
        </w:rPr>
        <w:t xml:space="preserve"> the diversity of families</w:t>
      </w:r>
      <w:r w:rsidR="61AF402E" w:rsidRPr="00BD00A9">
        <w:rPr>
          <w:rFonts w:ascii="Times New Roman" w:hAnsi="Times New Roman"/>
          <w:noProof/>
          <w:sz w:val="24"/>
          <w:szCs w:val="24"/>
        </w:rPr>
        <w:t xml:space="preserve"> </w:t>
      </w:r>
      <w:r w:rsidR="6D4AA639" w:rsidRPr="00BD00A9">
        <w:rPr>
          <w:rFonts w:ascii="Times New Roman" w:hAnsi="Times New Roman"/>
          <w:noProof/>
          <w:sz w:val="24"/>
          <w:szCs w:val="24"/>
        </w:rPr>
        <w:t xml:space="preserve">and therefore helps </w:t>
      </w:r>
      <w:r w:rsidR="61AF402E" w:rsidRPr="00BD00A9">
        <w:rPr>
          <w:rFonts w:ascii="Times New Roman" w:hAnsi="Times New Roman"/>
          <w:noProof/>
          <w:sz w:val="24"/>
          <w:szCs w:val="24"/>
        </w:rPr>
        <w:t xml:space="preserve">all members (including children) of all </w:t>
      </w:r>
      <w:r w:rsidR="6D4AA639" w:rsidRPr="00BD00A9">
        <w:rPr>
          <w:rFonts w:ascii="Times New Roman" w:hAnsi="Times New Roman"/>
          <w:noProof/>
          <w:sz w:val="24"/>
          <w:szCs w:val="24"/>
        </w:rPr>
        <w:t>fami</w:t>
      </w:r>
      <w:r w:rsidR="61AF402E" w:rsidRPr="00BD00A9">
        <w:rPr>
          <w:rFonts w:ascii="Times New Roman" w:hAnsi="Times New Roman"/>
          <w:noProof/>
          <w:sz w:val="24"/>
          <w:szCs w:val="24"/>
        </w:rPr>
        <w:t xml:space="preserve">lies (including rainbow families) </w:t>
      </w:r>
      <w:r w:rsidR="6D4AA639" w:rsidRPr="00BD00A9">
        <w:rPr>
          <w:rFonts w:ascii="Times New Roman" w:hAnsi="Times New Roman"/>
          <w:noProof/>
          <w:sz w:val="24"/>
          <w:szCs w:val="24"/>
        </w:rPr>
        <w:t>to exercise their right to free movement</w:t>
      </w:r>
      <w:r w:rsidR="00875766" w:rsidRPr="00BD00A9">
        <w:rPr>
          <w:rFonts w:ascii="Times New Roman" w:hAnsi="Times New Roman"/>
          <w:noProof/>
          <w:sz w:val="24"/>
          <w:szCs w:val="24"/>
        </w:rPr>
        <w:t xml:space="preserve"> in practice</w:t>
      </w:r>
      <w:r w:rsidR="6D4AA639" w:rsidRPr="00BD00A9">
        <w:rPr>
          <w:rFonts w:ascii="Times New Roman" w:hAnsi="Times New Roman"/>
          <w:noProof/>
          <w:sz w:val="24"/>
          <w:szCs w:val="24"/>
        </w:rPr>
        <w:t xml:space="preserve">, in line with the case law of the Court. It clarifies that </w:t>
      </w:r>
      <w:r w:rsidR="00875766" w:rsidRPr="00BD00A9">
        <w:rPr>
          <w:rFonts w:ascii="Times New Roman" w:hAnsi="Times New Roman"/>
          <w:noProof/>
          <w:sz w:val="24"/>
          <w:szCs w:val="24"/>
        </w:rPr>
        <w:t xml:space="preserve">where </w:t>
      </w:r>
      <w:r w:rsidR="6D4AA639" w:rsidRPr="00BD00A9">
        <w:rPr>
          <w:rFonts w:ascii="Times New Roman" w:hAnsi="Times New Roman"/>
          <w:noProof/>
          <w:sz w:val="24"/>
          <w:szCs w:val="24"/>
        </w:rPr>
        <w:t>relationships such as same-</w:t>
      </w:r>
      <w:r w:rsidR="6C95456C" w:rsidRPr="00BD00A9">
        <w:rPr>
          <w:rFonts w:ascii="Times New Roman" w:hAnsi="Times New Roman"/>
          <w:noProof/>
          <w:sz w:val="24"/>
          <w:szCs w:val="24"/>
        </w:rPr>
        <w:t xml:space="preserve">sex </w:t>
      </w:r>
      <w:r w:rsidR="6D4AA639" w:rsidRPr="00BD00A9">
        <w:rPr>
          <w:rFonts w:ascii="Times New Roman" w:hAnsi="Times New Roman"/>
          <w:noProof/>
          <w:sz w:val="24"/>
          <w:szCs w:val="24"/>
        </w:rPr>
        <w:t>marriages and same-</w:t>
      </w:r>
      <w:r w:rsidR="6C95456C" w:rsidRPr="00BD00A9">
        <w:rPr>
          <w:rFonts w:ascii="Times New Roman" w:hAnsi="Times New Roman"/>
          <w:noProof/>
          <w:sz w:val="24"/>
          <w:szCs w:val="24"/>
        </w:rPr>
        <w:t xml:space="preserve">sex </w:t>
      </w:r>
      <w:r w:rsidR="6D4AA639" w:rsidRPr="00BD00A9">
        <w:rPr>
          <w:rFonts w:ascii="Times New Roman" w:hAnsi="Times New Roman"/>
          <w:noProof/>
          <w:sz w:val="24"/>
          <w:szCs w:val="24"/>
        </w:rPr>
        <w:t>parenthood are duly attested by a certificate issued by a Member State</w:t>
      </w:r>
      <w:r w:rsidR="6BE504A6" w:rsidRPr="00BD00A9">
        <w:rPr>
          <w:rFonts w:ascii="Times New Roman" w:hAnsi="Times New Roman"/>
          <w:noProof/>
          <w:sz w:val="24"/>
          <w:szCs w:val="24"/>
        </w:rPr>
        <w:t>,</w:t>
      </w:r>
      <w:r w:rsidR="6D4AA639" w:rsidRPr="00BD00A9">
        <w:rPr>
          <w:rFonts w:ascii="Times New Roman" w:hAnsi="Times New Roman"/>
          <w:noProof/>
          <w:sz w:val="24"/>
          <w:szCs w:val="24"/>
        </w:rPr>
        <w:t xml:space="preserve"> </w:t>
      </w:r>
      <w:r w:rsidR="00875766" w:rsidRPr="00BD00A9">
        <w:rPr>
          <w:rFonts w:ascii="Times New Roman" w:hAnsi="Times New Roman"/>
          <w:noProof/>
          <w:sz w:val="24"/>
          <w:szCs w:val="24"/>
        </w:rPr>
        <w:t xml:space="preserve">these relationships </w:t>
      </w:r>
      <w:r w:rsidR="6D4AA639" w:rsidRPr="00BD00A9">
        <w:rPr>
          <w:rFonts w:ascii="Times New Roman" w:hAnsi="Times New Roman"/>
          <w:noProof/>
          <w:sz w:val="24"/>
          <w:szCs w:val="24"/>
        </w:rPr>
        <w:t xml:space="preserve">must be accepted by other Member States </w:t>
      </w:r>
      <w:r w:rsidR="002546CC" w:rsidRPr="00BD00A9">
        <w:rPr>
          <w:rFonts w:ascii="Times New Roman" w:hAnsi="Times New Roman"/>
          <w:noProof/>
          <w:sz w:val="24"/>
          <w:szCs w:val="24"/>
        </w:rPr>
        <w:t xml:space="preserve">for the purpose of the exercise of rights granted </w:t>
      </w:r>
      <w:r w:rsidR="6D4AA639" w:rsidRPr="00BD00A9">
        <w:rPr>
          <w:rFonts w:ascii="Times New Roman" w:hAnsi="Times New Roman"/>
          <w:noProof/>
          <w:sz w:val="24"/>
          <w:szCs w:val="24"/>
        </w:rPr>
        <w:t xml:space="preserve">under EU law, even if such relationships are not legally provided for in national </w:t>
      </w:r>
      <w:r w:rsidR="53CF8B6E" w:rsidRPr="00BD00A9">
        <w:rPr>
          <w:rFonts w:ascii="Times New Roman" w:hAnsi="Times New Roman"/>
          <w:noProof/>
          <w:sz w:val="24"/>
          <w:szCs w:val="24"/>
        </w:rPr>
        <w:t xml:space="preserve">law. </w:t>
      </w:r>
    </w:p>
    <w:p w14:paraId="6EE88C22" w14:textId="3DB3DEA9" w:rsidR="00142F25" w:rsidRPr="00BD00A9" w:rsidRDefault="1D512BB1" w:rsidP="001819A8">
      <w:pPr>
        <w:spacing w:after="240" w:line="276" w:lineRule="auto"/>
        <w:jc w:val="both"/>
        <w:rPr>
          <w:rFonts w:ascii="Times New Roman" w:hAnsi="Times New Roman"/>
          <w:noProof/>
          <w:sz w:val="24"/>
          <w:szCs w:val="24"/>
        </w:rPr>
      </w:pPr>
      <w:r w:rsidRPr="00BD00A9">
        <w:rPr>
          <w:rFonts w:ascii="Times New Roman" w:hAnsi="Times New Roman"/>
          <w:noProof/>
          <w:sz w:val="24"/>
          <w:szCs w:val="24"/>
        </w:rPr>
        <w:t>In addition, based on the lessons learned from the C</w:t>
      </w:r>
      <w:r w:rsidR="009F0D1B" w:rsidRPr="00BD00A9">
        <w:rPr>
          <w:rFonts w:ascii="Times New Roman" w:hAnsi="Times New Roman"/>
          <w:noProof/>
          <w:sz w:val="24"/>
          <w:szCs w:val="24"/>
        </w:rPr>
        <w:t>OVID</w:t>
      </w:r>
      <w:r w:rsidRPr="00BD00A9">
        <w:rPr>
          <w:rFonts w:ascii="Times New Roman" w:hAnsi="Times New Roman"/>
          <w:noProof/>
          <w:sz w:val="24"/>
          <w:szCs w:val="24"/>
        </w:rPr>
        <w:t xml:space="preserve">-19 pandemic, the updated guidance also addresses the application of restrictive measures on free movement due to public health concerns. </w:t>
      </w:r>
      <w:r w:rsidR="6D4AA639" w:rsidRPr="00BD00A9">
        <w:rPr>
          <w:rFonts w:ascii="Times New Roman" w:hAnsi="Times New Roman"/>
          <w:noProof/>
          <w:sz w:val="24"/>
          <w:szCs w:val="24"/>
        </w:rPr>
        <w:t>The Commission will continue to closely monitor the correct application and implementation of free movement rules and the new guidance will be a useful tool</w:t>
      </w:r>
      <w:r w:rsidR="502208E1" w:rsidRPr="00BD00A9">
        <w:rPr>
          <w:rFonts w:ascii="Times New Roman" w:hAnsi="Times New Roman"/>
          <w:noProof/>
          <w:sz w:val="24"/>
          <w:szCs w:val="24"/>
        </w:rPr>
        <w:t xml:space="preserve"> for that purpose</w:t>
      </w:r>
      <w:r w:rsidR="6D4AA639" w:rsidRPr="00BD00A9">
        <w:rPr>
          <w:rFonts w:ascii="Times New Roman" w:hAnsi="Times New Roman"/>
          <w:noProof/>
          <w:sz w:val="24"/>
          <w:szCs w:val="24"/>
        </w:rPr>
        <w:t>.</w:t>
      </w:r>
    </w:p>
    <w:p w14:paraId="133EFEFD" w14:textId="5CA75076" w:rsidR="00047075" w:rsidRPr="00BD00A9" w:rsidRDefault="00047075" w:rsidP="009C6B02">
      <w:pPr>
        <w:spacing w:after="240" w:line="276" w:lineRule="auto"/>
        <w:jc w:val="both"/>
        <w:rPr>
          <w:rFonts w:ascii="Times New Roman" w:hAnsi="Times New Roman"/>
          <w:noProof/>
          <w:sz w:val="24"/>
          <w:szCs w:val="24"/>
          <w:lang w:val="en-IE"/>
        </w:rPr>
      </w:pPr>
      <w:r w:rsidRPr="00BD00A9">
        <w:rPr>
          <w:rFonts w:ascii="Times New Roman" w:hAnsi="Times New Roman"/>
          <w:noProof/>
          <w:sz w:val="24"/>
          <w:szCs w:val="24"/>
          <w:lang w:val="en-IE"/>
        </w:rPr>
        <w:t xml:space="preserve">The Commission also continued to work on the </w:t>
      </w:r>
      <w:r w:rsidRPr="00BD00A9">
        <w:rPr>
          <w:rFonts w:ascii="Times New Roman" w:hAnsi="Times New Roman"/>
          <w:b/>
          <w:bCs/>
          <w:noProof/>
          <w:sz w:val="24"/>
          <w:szCs w:val="24"/>
          <w:lang w:val="en-IE"/>
        </w:rPr>
        <w:t>citizens’ rights part of the EU-UK Withdrawal Agreement</w:t>
      </w:r>
      <w:r w:rsidRPr="00BD00A9">
        <w:rPr>
          <w:rFonts w:ascii="Times New Roman" w:hAnsi="Times New Roman"/>
          <w:noProof/>
          <w:sz w:val="24"/>
          <w:szCs w:val="24"/>
          <w:lang w:val="en-IE"/>
        </w:rPr>
        <w:t xml:space="preserve"> in the Member States</w:t>
      </w:r>
      <w:r w:rsidR="00844639" w:rsidRPr="00BD00A9">
        <w:rPr>
          <w:rFonts w:ascii="Times New Roman" w:hAnsi="Times New Roman"/>
          <w:noProof/>
          <w:sz w:val="24"/>
          <w:szCs w:val="24"/>
          <w:lang w:val="en-IE"/>
        </w:rPr>
        <w:t xml:space="preserve">. </w:t>
      </w:r>
      <w:r w:rsidRPr="00BD00A9">
        <w:rPr>
          <w:rFonts w:ascii="Times New Roman" w:hAnsi="Times New Roman"/>
          <w:noProof/>
          <w:sz w:val="24"/>
          <w:szCs w:val="24"/>
          <w:lang w:val="en-IE"/>
        </w:rPr>
        <w:t xml:space="preserve">This includes ensuring that the rights of Withdrawal Agreement beneficiaries and their family members are respected in other policy areas, in particular </w:t>
      </w:r>
      <w:r w:rsidR="00875766" w:rsidRPr="00BD00A9">
        <w:rPr>
          <w:rFonts w:ascii="Times New Roman" w:hAnsi="Times New Roman"/>
          <w:noProof/>
          <w:sz w:val="24"/>
          <w:szCs w:val="24"/>
          <w:lang w:val="en-IE"/>
        </w:rPr>
        <w:t>as</w:t>
      </w:r>
      <w:r w:rsidRPr="00BD00A9">
        <w:rPr>
          <w:rFonts w:ascii="Times New Roman" w:hAnsi="Times New Roman"/>
          <w:noProof/>
          <w:sz w:val="24"/>
          <w:szCs w:val="24"/>
          <w:lang w:val="en-IE"/>
        </w:rPr>
        <w:t xml:space="preserve"> regard</w:t>
      </w:r>
      <w:r w:rsidR="00875766" w:rsidRPr="00BD00A9">
        <w:rPr>
          <w:rFonts w:ascii="Times New Roman" w:hAnsi="Times New Roman"/>
          <w:noProof/>
          <w:sz w:val="24"/>
          <w:szCs w:val="24"/>
          <w:lang w:val="en-IE"/>
        </w:rPr>
        <w:t>s</w:t>
      </w:r>
      <w:r w:rsidRPr="00BD00A9">
        <w:rPr>
          <w:rFonts w:ascii="Times New Roman" w:hAnsi="Times New Roman"/>
          <w:noProof/>
          <w:sz w:val="24"/>
          <w:szCs w:val="24"/>
          <w:lang w:val="en-IE"/>
        </w:rPr>
        <w:t xml:space="preserve"> </w:t>
      </w:r>
      <w:r w:rsidR="002546CC" w:rsidRPr="00BD00A9">
        <w:rPr>
          <w:rFonts w:ascii="Times New Roman" w:hAnsi="Times New Roman"/>
          <w:noProof/>
          <w:sz w:val="24"/>
          <w:szCs w:val="24"/>
          <w:lang w:val="en-IE"/>
        </w:rPr>
        <w:t>travel</w:t>
      </w:r>
      <w:r w:rsidRPr="00BD00A9">
        <w:rPr>
          <w:rFonts w:ascii="Times New Roman" w:hAnsi="Times New Roman"/>
          <w:noProof/>
          <w:sz w:val="24"/>
          <w:szCs w:val="24"/>
          <w:lang w:val="en-IE"/>
        </w:rPr>
        <w:t xml:space="preserve"> into and inside the Schengen area.</w:t>
      </w:r>
    </w:p>
    <w:p w14:paraId="5A8D35F3" w14:textId="373E9463" w:rsidR="00047075" w:rsidRPr="00BD00A9" w:rsidRDefault="00844639" w:rsidP="009C6B02">
      <w:pPr>
        <w:spacing w:after="240" w:line="276" w:lineRule="auto"/>
        <w:jc w:val="both"/>
        <w:rPr>
          <w:rFonts w:ascii="Times New Roman" w:hAnsi="Times New Roman"/>
          <w:noProof/>
          <w:sz w:val="24"/>
          <w:szCs w:val="24"/>
        </w:rPr>
      </w:pPr>
      <w:r w:rsidRPr="00BD00A9">
        <w:rPr>
          <w:rFonts w:ascii="Times New Roman" w:hAnsi="Times New Roman"/>
          <w:noProof/>
          <w:sz w:val="24"/>
          <w:szCs w:val="24"/>
        </w:rPr>
        <w:t>In addition, t</w:t>
      </w:r>
      <w:r w:rsidR="00047075" w:rsidRPr="00BD00A9">
        <w:rPr>
          <w:rFonts w:ascii="Times New Roman" w:hAnsi="Times New Roman"/>
          <w:noProof/>
          <w:sz w:val="24"/>
          <w:szCs w:val="24"/>
        </w:rPr>
        <w:t xml:space="preserve">he Commission regularly raises </w:t>
      </w:r>
      <w:r w:rsidR="00047075" w:rsidRPr="00BD00A9">
        <w:rPr>
          <w:rFonts w:ascii="Times New Roman" w:hAnsi="Times New Roman"/>
          <w:b/>
          <w:bCs/>
          <w:noProof/>
          <w:sz w:val="24"/>
          <w:szCs w:val="24"/>
        </w:rPr>
        <w:t xml:space="preserve">concerns regarding the UK’s implementation of the </w:t>
      </w:r>
      <w:r w:rsidR="00875766" w:rsidRPr="00BD00A9">
        <w:rPr>
          <w:rFonts w:ascii="Times New Roman" w:hAnsi="Times New Roman"/>
          <w:b/>
          <w:bCs/>
          <w:noProof/>
          <w:sz w:val="24"/>
          <w:szCs w:val="24"/>
        </w:rPr>
        <w:t xml:space="preserve">part of the </w:t>
      </w:r>
      <w:r w:rsidR="00047075" w:rsidRPr="00BD00A9">
        <w:rPr>
          <w:rFonts w:ascii="Times New Roman" w:hAnsi="Times New Roman"/>
          <w:b/>
          <w:bCs/>
          <w:noProof/>
          <w:sz w:val="24"/>
          <w:szCs w:val="24"/>
        </w:rPr>
        <w:t xml:space="preserve">Withdrawal Agreement </w:t>
      </w:r>
      <w:r w:rsidR="00875766" w:rsidRPr="00BD00A9">
        <w:rPr>
          <w:rFonts w:ascii="Times New Roman" w:hAnsi="Times New Roman"/>
          <w:b/>
          <w:bCs/>
          <w:noProof/>
          <w:sz w:val="24"/>
          <w:szCs w:val="24"/>
        </w:rPr>
        <w:t xml:space="preserve">on </w:t>
      </w:r>
      <w:r w:rsidR="00047075" w:rsidRPr="00BD00A9">
        <w:rPr>
          <w:rFonts w:ascii="Times New Roman" w:hAnsi="Times New Roman"/>
          <w:b/>
          <w:bCs/>
          <w:noProof/>
          <w:sz w:val="24"/>
          <w:szCs w:val="24"/>
        </w:rPr>
        <w:t>citizens’ rights</w:t>
      </w:r>
      <w:r w:rsidR="00047075" w:rsidRPr="00BD00A9">
        <w:rPr>
          <w:rFonts w:ascii="Times New Roman" w:hAnsi="Times New Roman"/>
          <w:noProof/>
          <w:sz w:val="24"/>
          <w:szCs w:val="24"/>
        </w:rPr>
        <w:t xml:space="preserve"> in the </w:t>
      </w:r>
      <w:r w:rsidR="00AD6190" w:rsidRPr="00BD00A9">
        <w:rPr>
          <w:rFonts w:ascii="Times New Roman" w:hAnsi="Times New Roman"/>
          <w:noProof/>
          <w:sz w:val="24"/>
          <w:szCs w:val="24"/>
        </w:rPr>
        <w:t>S</w:t>
      </w:r>
      <w:r w:rsidR="00047075" w:rsidRPr="00BD00A9">
        <w:rPr>
          <w:rFonts w:ascii="Times New Roman" w:hAnsi="Times New Roman"/>
          <w:noProof/>
          <w:sz w:val="24"/>
          <w:szCs w:val="24"/>
        </w:rPr>
        <w:t xml:space="preserve">pecialised </w:t>
      </w:r>
      <w:r w:rsidR="00AD6190" w:rsidRPr="00BD00A9">
        <w:rPr>
          <w:rFonts w:ascii="Times New Roman" w:hAnsi="Times New Roman"/>
          <w:noProof/>
          <w:sz w:val="24"/>
          <w:szCs w:val="24"/>
        </w:rPr>
        <w:t>C</w:t>
      </w:r>
      <w:r w:rsidR="00047075" w:rsidRPr="00BD00A9">
        <w:rPr>
          <w:rFonts w:ascii="Times New Roman" w:hAnsi="Times New Roman"/>
          <w:noProof/>
          <w:sz w:val="24"/>
          <w:szCs w:val="24"/>
        </w:rPr>
        <w:t xml:space="preserve">ommittee on </w:t>
      </w:r>
      <w:r w:rsidR="00AD6190" w:rsidRPr="00BD00A9">
        <w:rPr>
          <w:rFonts w:ascii="Times New Roman" w:hAnsi="Times New Roman"/>
          <w:noProof/>
          <w:sz w:val="24"/>
          <w:szCs w:val="24"/>
        </w:rPr>
        <w:t>C</w:t>
      </w:r>
      <w:r w:rsidR="00047075" w:rsidRPr="00BD00A9">
        <w:rPr>
          <w:rFonts w:ascii="Times New Roman" w:hAnsi="Times New Roman"/>
          <w:noProof/>
          <w:sz w:val="24"/>
          <w:szCs w:val="24"/>
        </w:rPr>
        <w:t xml:space="preserve">itizens’ </w:t>
      </w:r>
      <w:r w:rsidR="00AD6190" w:rsidRPr="00BD00A9">
        <w:rPr>
          <w:rFonts w:ascii="Times New Roman" w:hAnsi="Times New Roman"/>
          <w:noProof/>
          <w:sz w:val="24"/>
          <w:szCs w:val="24"/>
        </w:rPr>
        <w:t>R</w:t>
      </w:r>
      <w:r w:rsidR="00047075" w:rsidRPr="00BD00A9">
        <w:rPr>
          <w:rFonts w:ascii="Times New Roman" w:hAnsi="Times New Roman"/>
          <w:noProof/>
          <w:sz w:val="24"/>
          <w:szCs w:val="24"/>
        </w:rPr>
        <w:t xml:space="preserve">ights </w:t>
      </w:r>
      <w:r w:rsidR="00875766" w:rsidRPr="00BD00A9">
        <w:rPr>
          <w:rFonts w:ascii="Times New Roman" w:hAnsi="Times New Roman"/>
          <w:noProof/>
          <w:sz w:val="24"/>
          <w:szCs w:val="24"/>
        </w:rPr>
        <w:t>and</w:t>
      </w:r>
      <w:r w:rsidR="00047075" w:rsidRPr="00BD00A9">
        <w:rPr>
          <w:rFonts w:ascii="Times New Roman" w:hAnsi="Times New Roman"/>
          <w:noProof/>
          <w:sz w:val="24"/>
          <w:szCs w:val="24"/>
        </w:rPr>
        <w:t xml:space="preserve"> in the Joint Committee, both in written exchanges and during meetings. </w:t>
      </w:r>
      <w:r w:rsidR="00AB0261" w:rsidRPr="00BD00A9">
        <w:rPr>
          <w:rFonts w:ascii="Times New Roman" w:hAnsi="Times New Roman"/>
          <w:noProof/>
          <w:sz w:val="24"/>
          <w:szCs w:val="24"/>
        </w:rPr>
        <w:t>Thirteen</w:t>
      </w:r>
      <w:r w:rsidR="00047075" w:rsidRPr="00BD00A9">
        <w:rPr>
          <w:rFonts w:ascii="Times New Roman" w:hAnsi="Times New Roman"/>
          <w:noProof/>
          <w:sz w:val="24"/>
          <w:szCs w:val="24"/>
        </w:rPr>
        <w:t xml:space="preserve"> </w:t>
      </w:r>
      <w:r w:rsidR="00AD6190" w:rsidRPr="00BD00A9">
        <w:rPr>
          <w:rFonts w:ascii="Times New Roman" w:hAnsi="Times New Roman"/>
          <w:noProof/>
          <w:sz w:val="24"/>
          <w:szCs w:val="24"/>
        </w:rPr>
        <w:t>S</w:t>
      </w:r>
      <w:r w:rsidR="00047075" w:rsidRPr="00BD00A9">
        <w:rPr>
          <w:rFonts w:ascii="Times New Roman" w:hAnsi="Times New Roman"/>
          <w:noProof/>
          <w:sz w:val="24"/>
          <w:szCs w:val="24"/>
        </w:rPr>
        <w:t xml:space="preserve">pecialised </w:t>
      </w:r>
      <w:r w:rsidR="00AD6190" w:rsidRPr="00BD00A9">
        <w:rPr>
          <w:rFonts w:ascii="Times New Roman" w:hAnsi="Times New Roman"/>
          <w:noProof/>
          <w:sz w:val="24"/>
          <w:szCs w:val="24"/>
        </w:rPr>
        <w:t>C</w:t>
      </w:r>
      <w:r w:rsidR="00047075" w:rsidRPr="00BD00A9">
        <w:rPr>
          <w:rFonts w:ascii="Times New Roman" w:hAnsi="Times New Roman"/>
          <w:noProof/>
          <w:sz w:val="24"/>
          <w:szCs w:val="24"/>
        </w:rPr>
        <w:t xml:space="preserve">ommittee meetings have taken place since 2020. </w:t>
      </w:r>
    </w:p>
    <w:p w14:paraId="08A97601" w14:textId="578BCABD" w:rsidR="001B70A2" w:rsidRPr="00BD00A9" w:rsidRDefault="00047075" w:rsidP="009616BA">
      <w:pPr>
        <w:spacing w:after="240" w:line="276" w:lineRule="auto"/>
        <w:jc w:val="both"/>
        <w:rPr>
          <w:rFonts w:ascii="Times New Roman" w:hAnsi="Times New Roman"/>
          <w:noProof/>
          <w:sz w:val="24"/>
          <w:szCs w:val="24"/>
        </w:rPr>
      </w:pPr>
      <w:r w:rsidRPr="00BD00A9">
        <w:rPr>
          <w:rFonts w:ascii="Times New Roman" w:hAnsi="Times New Roman"/>
          <w:noProof/>
          <w:sz w:val="24"/>
          <w:szCs w:val="24"/>
        </w:rPr>
        <w:t xml:space="preserve">While a number of implementation concerns </w:t>
      </w:r>
      <w:r w:rsidR="00875766" w:rsidRPr="00BD00A9">
        <w:rPr>
          <w:rFonts w:ascii="Times New Roman" w:hAnsi="Times New Roman"/>
          <w:noProof/>
          <w:sz w:val="24"/>
          <w:szCs w:val="24"/>
        </w:rPr>
        <w:t>were</w:t>
      </w:r>
      <w:r w:rsidRPr="00BD00A9">
        <w:rPr>
          <w:rFonts w:ascii="Times New Roman" w:hAnsi="Times New Roman"/>
          <w:noProof/>
          <w:sz w:val="24"/>
          <w:szCs w:val="24"/>
        </w:rPr>
        <w:t xml:space="preserve"> </w:t>
      </w:r>
      <w:r w:rsidR="00875766" w:rsidRPr="00BD00A9">
        <w:rPr>
          <w:rFonts w:ascii="Times New Roman" w:hAnsi="Times New Roman"/>
          <w:noProof/>
          <w:sz w:val="24"/>
          <w:szCs w:val="24"/>
        </w:rPr>
        <w:t>re</w:t>
      </w:r>
      <w:r w:rsidRPr="00BD00A9">
        <w:rPr>
          <w:rFonts w:ascii="Times New Roman" w:hAnsi="Times New Roman"/>
          <w:noProof/>
          <w:sz w:val="24"/>
          <w:szCs w:val="24"/>
        </w:rPr>
        <w:t>solved on this basis, the Commission continues to be concerned about two systemic implementation deficiencies in the UK</w:t>
      </w:r>
      <w:r w:rsidR="00875766" w:rsidRPr="00BD00A9">
        <w:rPr>
          <w:rFonts w:ascii="Times New Roman" w:hAnsi="Times New Roman"/>
          <w:noProof/>
          <w:sz w:val="24"/>
          <w:szCs w:val="24"/>
        </w:rPr>
        <w:t xml:space="preserve"> affecting EU citizens with residence status under the UK domestic residence scheme implementing the Withdrawal Agreement. The first deficiency relates to</w:t>
      </w:r>
      <w:r w:rsidRPr="00BD00A9">
        <w:rPr>
          <w:rFonts w:ascii="Times New Roman" w:hAnsi="Times New Roman"/>
          <w:noProof/>
          <w:sz w:val="24"/>
          <w:szCs w:val="24"/>
        </w:rPr>
        <w:t xml:space="preserve"> the lack of legal certainty as to whether they are protected by the Withdrawal Agreement</w:t>
      </w:r>
      <w:r w:rsidR="00875766" w:rsidRPr="00BD00A9">
        <w:rPr>
          <w:rFonts w:ascii="Times New Roman" w:hAnsi="Times New Roman"/>
          <w:noProof/>
          <w:sz w:val="24"/>
          <w:szCs w:val="24"/>
        </w:rPr>
        <w:t xml:space="preserve">. The second relates to </w:t>
      </w:r>
      <w:r w:rsidRPr="00BD00A9">
        <w:rPr>
          <w:rFonts w:ascii="Times New Roman" w:hAnsi="Times New Roman"/>
          <w:noProof/>
          <w:sz w:val="24"/>
          <w:szCs w:val="24"/>
        </w:rPr>
        <w:t xml:space="preserve">the </w:t>
      </w:r>
      <w:r w:rsidR="002546CC" w:rsidRPr="00BD00A9">
        <w:rPr>
          <w:rFonts w:ascii="Times New Roman" w:hAnsi="Times New Roman"/>
          <w:noProof/>
          <w:sz w:val="24"/>
          <w:szCs w:val="24"/>
        </w:rPr>
        <w:t>possible</w:t>
      </w:r>
      <w:r w:rsidRPr="00BD00A9">
        <w:rPr>
          <w:rFonts w:ascii="Times New Roman" w:hAnsi="Times New Roman"/>
          <w:noProof/>
          <w:sz w:val="24"/>
          <w:szCs w:val="24"/>
        </w:rPr>
        <w:t xml:space="preserve"> </w:t>
      </w:r>
      <w:r w:rsidR="00875766" w:rsidRPr="00BD00A9">
        <w:rPr>
          <w:rFonts w:ascii="Times New Roman" w:hAnsi="Times New Roman"/>
          <w:noProof/>
          <w:sz w:val="24"/>
          <w:szCs w:val="24"/>
        </w:rPr>
        <w:t>expiry of</w:t>
      </w:r>
      <w:r w:rsidRPr="00BD00A9">
        <w:rPr>
          <w:rFonts w:ascii="Times New Roman" w:hAnsi="Times New Roman"/>
          <w:noProof/>
          <w:sz w:val="24"/>
          <w:szCs w:val="24"/>
        </w:rPr>
        <w:t xml:space="preserve"> pre-settled status</w:t>
      </w:r>
      <w:r w:rsidR="00875766" w:rsidRPr="00BD00A9">
        <w:rPr>
          <w:rFonts w:ascii="Times New Roman" w:hAnsi="Times New Roman"/>
          <w:noProof/>
          <w:sz w:val="24"/>
          <w:szCs w:val="24"/>
        </w:rPr>
        <w:t xml:space="preserve">, in which case EU citizens </w:t>
      </w:r>
      <w:r w:rsidR="00A97035" w:rsidRPr="00BD00A9">
        <w:rPr>
          <w:rFonts w:ascii="Times New Roman" w:hAnsi="Times New Roman"/>
          <w:noProof/>
          <w:sz w:val="24"/>
          <w:szCs w:val="24"/>
        </w:rPr>
        <w:t>were</w:t>
      </w:r>
      <w:r w:rsidR="00875766" w:rsidRPr="00BD00A9">
        <w:rPr>
          <w:rFonts w:ascii="Times New Roman" w:hAnsi="Times New Roman"/>
          <w:noProof/>
          <w:sz w:val="24"/>
          <w:szCs w:val="24"/>
        </w:rPr>
        <w:t xml:space="preserve"> </w:t>
      </w:r>
      <w:r w:rsidR="002546CC" w:rsidRPr="00BD00A9">
        <w:rPr>
          <w:rFonts w:ascii="Times New Roman" w:hAnsi="Times New Roman"/>
          <w:noProof/>
          <w:sz w:val="24"/>
          <w:szCs w:val="24"/>
        </w:rPr>
        <w:t>required</w:t>
      </w:r>
      <w:r w:rsidRPr="00BD00A9">
        <w:rPr>
          <w:rFonts w:ascii="Times New Roman" w:hAnsi="Times New Roman"/>
          <w:noProof/>
          <w:sz w:val="24"/>
          <w:szCs w:val="24"/>
        </w:rPr>
        <w:t xml:space="preserve"> to re-apply to be granted settled status</w:t>
      </w:r>
      <w:r w:rsidR="00AD6190" w:rsidRPr="00BD00A9">
        <w:rPr>
          <w:rStyle w:val="FootnoteReference"/>
          <w:rFonts w:ascii="Times New Roman" w:hAnsi="Times New Roman"/>
          <w:noProof/>
          <w:sz w:val="24"/>
          <w:szCs w:val="24"/>
        </w:rPr>
        <w:footnoteReference w:id="92"/>
      </w:r>
      <w:r w:rsidRPr="00BD00A9">
        <w:rPr>
          <w:rFonts w:ascii="Times New Roman" w:hAnsi="Times New Roman"/>
          <w:noProof/>
          <w:sz w:val="24"/>
          <w:szCs w:val="24"/>
        </w:rPr>
        <w:t xml:space="preserve">. On the latter issue, the Commission participated, as a third party, in domestic judicial review proceedings before </w:t>
      </w:r>
      <w:r w:rsidR="0013576E" w:rsidRPr="00BD00A9">
        <w:rPr>
          <w:rFonts w:ascii="Times New Roman" w:hAnsi="Times New Roman"/>
          <w:noProof/>
          <w:sz w:val="24"/>
          <w:szCs w:val="24"/>
        </w:rPr>
        <w:t xml:space="preserve">the </w:t>
      </w:r>
      <w:r w:rsidRPr="00BD00A9">
        <w:rPr>
          <w:rFonts w:ascii="Times New Roman" w:hAnsi="Times New Roman"/>
          <w:noProof/>
          <w:sz w:val="24"/>
          <w:szCs w:val="24"/>
        </w:rPr>
        <w:t>High Court</w:t>
      </w:r>
      <w:r w:rsidR="0013576E" w:rsidRPr="00BD00A9">
        <w:rPr>
          <w:rFonts w:ascii="Times New Roman" w:hAnsi="Times New Roman"/>
          <w:noProof/>
          <w:sz w:val="24"/>
          <w:szCs w:val="24"/>
        </w:rPr>
        <w:t xml:space="preserve"> in the UK</w:t>
      </w:r>
      <w:r w:rsidRPr="00BD00A9">
        <w:rPr>
          <w:rFonts w:ascii="Times New Roman" w:hAnsi="Times New Roman"/>
          <w:noProof/>
          <w:sz w:val="24"/>
          <w:szCs w:val="24"/>
        </w:rPr>
        <w:t xml:space="preserve"> in 2022. The High Court found that the expiry of pre-settled status and the </w:t>
      </w:r>
      <w:r w:rsidR="002546CC" w:rsidRPr="00BD00A9">
        <w:rPr>
          <w:rFonts w:ascii="Times New Roman" w:hAnsi="Times New Roman"/>
          <w:noProof/>
          <w:sz w:val="24"/>
          <w:szCs w:val="24"/>
        </w:rPr>
        <w:t>requirement</w:t>
      </w:r>
      <w:r w:rsidRPr="00BD00A9">
        <w:rPr>
          <w:rFonts w:ascii="Times New Roman" w:hAnsi="Times New Roman"/>
          <w:noProof/>
          <w:sz w:val="24"/>
          <w:szCs w:val="24"/>
        </w:rPr>
        <w:t xml:space="preserve"> for a second constitutive application to switch to settled status was not compliant with the Withdrawal Agreement. The UK is currently working on implementing this judgment. </w:t>
      </w:r>
      <w:r w:rsidR="007A4F19" w:rsidRPr="00BD00A9">
        <w:rPr>
          <w:rFonts w:ascii="Times New Roman" w:hAnsi="Times New Roman"/>
          <w:noProof/>
          <w:sz w:val="24"/>
          <w:szCs w:val="24"/>
        </w:rPr>
        <w:t>The Commission is also concerned about the integrity of the UK’s digital status in light of incorrect information having been displayed in the past and the digital system having been unavailable.</w:t>
      </w:r>
    </w:p>
    <w:p w14:paraId="5D6A37A5" w14:textId="55D0061A" w:rsidR="009616BA" w:rsidRPr="00BD00A9" w:rsidRDefault="00BF091A" w:rsidP="009616BA">
      <w:pPr>
        <w:spacing w:after="240" w:line="276" w:lineRule="auto"/>
        <w:jc w:val="both"/>
        <w:rPr>
          <w:rFonts w:ascii="Times New Roman" w:hAnsi="Times New Roman"/>
          <w:noProof/>
          <w:sz w:val="24"/>
          <w:szCs w:val="24"/>
          <w:lang w:val="en-IE"/>
        </w:rPr>
      </w:pPr>
      <w:r w:rsidRPr="00BD00A9">
        <w:rPr>
          <w:rFonts w:ascii="Times New Roman" w:hAnsi="Times New Roman"/>
          <w:noProof/>
          <w:sz w:val="24"/>
          <w:szCs w:val="24"/>
          <w:lang w:val="en-IE"/>
        </w:rPr>
        <w:t xml:space="preserve">The Commission also </w:t>
      </w:r>
      <w:r w:rsidR="00AD6190" w:rsidRPr="00BD00A9">
        <w:rPr>
          <w:rFonts w:ascii="Times New Roman" w:hAnsi="Times New Roman"/>
          <w:noProof/>
          <w:sz w:val="24"/>
          <w:szCs w:val="24"/>
          <w:lang w:val="en-IE"/>
        </w:rPr>
        <w:t xml:space="preserve">works </w:t>
      </w:r>
      <w:r w:rsidR="00D45EF8" w:rsidRPr="00BD00A9">
        <w:rPr>
          <w:rFonts w:ascii="Times New Roman" w:hAnsi="Times New Roman"/>
          <w:noProof/>
          <w:sz w:val="24"/>
          <w:szCs w:val="24"/>
          <w:lang w:val="en-IE"/>
        </w:rPr>
        <w:t>on</w:t>
      </w:r>
      <w:r w:rsidRPr="00BD00A9">
        <w:rPr>
          <w:rFonts w:ascii="Times New Roman" w:hAnsi="Times New Roman"/>
          <w:noProof/>
          <w:sz w:val="24"/>
          <w:szCs w:val="24"/>
          <w:lang w:val="en-IE"/>
        </w:rPr>
        <w:t xml:space="preserve"> measures in </w:t>
      </w:r>
      <w:r w:rsidRPr="00BD00A9">
        <w:rPr>
          <w:rFonts w:ascii="Times New Roman" w:hAnsi="Times New Roman"/>
          <w:b/>
          <w:bCs/>
          <w:noProof/>
          <w:sz w:val="24"/>
          <w:szCs w:val="24"/>
          <w:lang w:val="en-IE"/>
        </w:rPr>
        <w:t>other areas of EU law with potential effects for the free movement of mobile EU citizens</w:t>
      </w:r>
      <w:r w:rsidRPr="00BD00A9">
        <w:rPr>
          <w:rFonts w:ascii="Times New Roman" w:hAnsi="Times New Roman"/>
          <w:noProof/>
          <w:sz w:val="24"/>
          <w:szCs w:val="24"/>
          <w:lang w:val="en-IE"/>
        </w:rPr>
        <w:t xml:space="preserve">. </w:t>
      </w:r>
      <w:r w:rsidR="002B51DC" w:rsidRPr="00BD00A9">
        <w:rPr>
          <w:rFonts w:ascii="Times New Roman" w:hAnsi="Times New Roman"/>
          <w:noProof/>
          <w:sz w:val="24"/>
          <w:szCs w:val="24"/>
          <w:lang w:val="en-IE"/>
        </w:rPr>
        <w:t xml:space="preserve">In 2022, for example, </w:t>
      </w:r>
      <w:r w:rsidR="00FF75A3" w:rsidRPr="00BD00A9">
        <w:rPr>
          <w:rFonts w:ascii="Times New Roman" w:hAnsi="Times New Roman"/>
          <w:noProof/>
          <w:sz w:val="24"/>
          <w:szCs w:val="24"/>
          <w:lang w:val="en-IE"/>
        </w:rPr>
        <w:t xml:space="preserve">the </w:t>
      </w:r>
      <w:r w:rsidR="00972A9F" w:rsidRPr="00BD00A9">
        <w:rPr>
          <w:rFonts w:ascii="Times New Roman" w:hAnsi="Times New Roman"/>
          <w:noProof/>
          <w:sz w:val="24"/>
          <w:szCs w:val="24"/>
          <w:lang w:val="en-IE"/>
        </w:rPr>
        <w:t>Commission</w:t>
      </w:r>
      <w:r w:rsidR="00FF75A3" w:rsidRPr="00BD00A9">
        <w:rPr>
          <w:rFonts w:ascii="Times New Roman" w:hAnsi="Times New Roman"/>
          <w:noProof/>
          <w:sz w:val="24"/>
          <w:szCs w:val="24"/>
          <w:lang w:val="en-IE"/>
        </w:rPr>
        <w:t xml:space="preserve"> </w:t>
      </w:r>
      <w:r w:rsidR="002B51DC" w:rsidRPr="00BD00A9">
        <w:rPr>
          <w:rFonts w:ascii="Times New Roman" w:hAnsi="Times New Roman"/>
          <w:noProof/>
          <w:sz w:val="24"/>
          <w:szCs w:val="24"/>
          <w:lang w:val="en-IE"/>
        </w:rPr>
        <w:t xml:space="preserve">submitted a legislative proposal </w:t>
      </w:r>
      <w:r w:rsidR="00364234" w:rsidRPr="00BD00A9">
        <w:rPr>
          <w:rFonts w:ascii="Times New Roman" w:hAnsi="Times New Roman"/>
          <w:noProof/>
          <w:sz w:val="24"/>
          <w:szCs w:val="24"/>
          <w:lang w:val="en-IE"/>
        </w:rPr>
        <w:t xml:space="preserve">aimed </w:t>
      </w:r>
      <w:r w:rsidR="00705715" w:rsidRPr="00BD00A9">
        <w:rPr>
          <w:rFonts w:ascii="Times New Roman" w:hAnsi="Times New Roman"/>
          <w:noProof/>
          <w:sz w:val="24"/>
          <w:szCs w:val="24"/>
          <w:lang w:val="en-IE"/>
        </w:rPr>
        <w:t>at digitalising the visa procedure</w:t>
      </w:r>
      <w:r w:rsidR="00972A9F" w:rsidRPr="00BD00A9">
        <w:rPr>
          <w:rFonts w:ascii="Times New Roman" w:hAnsi="Times New Roman"/>
          <w:noProof/>
          <w:sz w:val="24"/>
          <w:szCs w:val="24"/>
          <w:lang w:val="en-IE"/>
        </w:rPr>
        <w:t xml:space="preserve"> for the Schengen countries</w:t>
      </w:r>
      <w:r w:rsidR="00705715" w:rsidRPr="00BD00A9">
        <w:rPr>
          <w:rFonts w:ascii="Times New Roman" w:hAnsi="Times New Roman"/>
          <w:noProof/>
          <w:sz w:val="24"/>
          <w:szCs w:val="24"/>
          <w:lang w:val="en-IE"/>
        </w:rPr>
        <w:t>.</w:t>
      </w:r>
      <w:r w:rsidR="00972A9F" w:rsidRPr="00BD00A9">
        <w:rPr>
          <w:rFonts w:ascii="Times New Roman" w:hAnsi="Times New Roman"/>
          <w:noProof/>
          <w:sz w:val="24"/>
          <w:szCs w:val="24"/>
          <w:lang w:val="en-IE"/>
        </w:rPr>
        <w:t xml:space="preserve"> </w:t>
      </w:r>
      <w:r w:rsidR="009616BA" w:rsidRPr="00BD00A9">
        <w:rPr>
          <w:rFonts w:ascii="Times New Roman" w:hAnsi="Times New Roman"/>
          <w:noProof/>
          <w:sz w:val="24"/>
          <w:szCs w:val="24"/>
          <w:lang w:val="en-IE"/>
        </w:rPr>
        <w:t xml:space="preserve">This new legislation </w:t>
      </w:r>
      <w:r w:rsidR="001B70A2" w:rsidRPr="00BD00A9">
        <w:rPr>
          <w:rFonts w:ascii="Times New Roman" w:hAnsi="Times New Roman"/>
          <w:noProof/>
          <w:sz w:val="24"/>
          <w:szCs w:val="24"/>
          <w:lang w:val="en-IE"/>
        </w:rPr>
        <w:t xml:space="preserve">aims to </w:t>
      </w:r>
      <w:r w:rsidR="009616BA" w:rsidRPr="00BD00A9">
        <w:rPr>
          <w:rFonts w:ascii="Times New Roman" w:hAnsi="Times New Roman"/>
          <w:noProof/>
          <w:sz w:val="24"/>
          <w:szCs w:val="24"/>
          <w:lang w:val="en-IE"/>
        </w:rPr>
        <w:t>ensure that</w:t>
      </w:r>
      <w:r w:rsidR="000C7825" w:rsidRPr="00BD00A9">
        <w:rPr>
          <w:rFonts w:ascii="Times New Roman" w:hAnsi="Times New Roman"/>
          <w:noProof/>
          <w:sz w:val="24"/>
          <w:szCs w:val="24"/>
          <w:lang w:val="en-IE"/>
        </w:rPr>
        <w:t xml:space="preserve"> family members of mobile EU citizens </w:t>
      </w:r>
      <w:r w:rsidR="00FF75A3" w:rsidRPr="00BD00A9">
        <w:rPr>
          <w:rFonts w:ascii="Times New Roman" w:hAnsi="Times New Roman"/>
          <w:noProof/>
          <w:sz w:val="24"/>
          <w:szCs w:val="24"/>
          <w:lang w:val="en-IE"/>
        </w:rPr>
        <w:t xml:space="preserve">will </w:t>
      </w:r>
      <w:r w:rsidR="0013576E" w:rsidRPr="00BD00A9">
        <w:rPr>
          <w:rFonts w:ascii="Times New Roman" w:hAnsi="Times New Roman"/>
          <w:noProof/>
          <w:sz w:val="24"/>
          <w:szCs w:val="24"/>
          <w:lang w:val="en-IE"/>
        </w:rPr>
        <w:t>be able</w:t>
      </w:r>
      <w:r w:rsidR="00A0350E" w:rsidRPr="00BD00A9">
        <w:rPr>
          <w:rFonts w:ascii="Times New Roman" w:hAnsi="Times New Roman"/>
          <w:noProof/>
          <w:sz w:val="24"/>
          <w:szCs w:val="24"/>
          <w:lang w:val="en-IE"/>
        </w:rPr>
        <w:t xml:space="preserve"> to submit visa applications online</w:t>
      </w:r>
      <w:r w:rsidR="003F7AA0" w:rsidRPr="00BD00A9">
        <w:rPr>
          <w:rStyle w:val="FootnoteReference"/>
          <w:rFonts w:ascii="Times New Roman" w:hAnsi="Times New Roman"/>
          <w:noProof/>
          <w:sz w:val="24"/>
          <w:szCs w:val="24"/>
          <w:lang w:val="en-IE"/>
        </w:rPr>
        <w:footnoteReference w:id="93"/>
      </w:r>
      <w:r w:rsidR="003F7AA0" w:rsidRPr="00BD00A9">
        <w:rPr>
          <w:rFonts w:ascii="Times New Roman" w:hAnsi="Times New Roman"/>
          <w:noProof/>
          <w:sz w:val="24"/>
          <w:szCs w:val="24"/>
          <w:lang w:val="en-IE"/>
        </w:rPr>
        <w:t>.</w:t>
      </w:r>
    </w:p>
    <w:p w14:paraId="5B98D99B" w14:textId="1E2299DE" w:rsidR="001337D4" w:rsidRPr="00BD00A9" w:rsidRDefault="004E073E" w:rsidP="009616BA">
      <w:pPr>
        <w:spacing w:after="240" w:line="276" w:lineRule="auto"/>
        <w:jc w:val="both"/>
        <w:rPr>
          <w:rFonts w:ascii="Times New Roman" w:hAnsi="Times New Roman"/>
          <w:noProof/>
          <w:sz w:val="24"/>
          <w:szCs w:val="24"/>
          <w:lang w:val="en-IE"/>
        </w:rPr>
      </w:pPr>
      <w:r w:rsidRPr="00BD00A9">
        <w:rPr>
          <w:rFonts w:ascii="Times New Roman" w:hAnsi="Times New Roman"/>
          <w:noProof/>
          <w:sz w:val="24"/>
          <w:szCs w:val="24"/>
          <w:lang w:val="en-IE"/>
        </w:rPr>
        <w:t xml:space="preserve">On 6 September 2023, the Commission also proposed concrete steps to further digitalise the </w:t>
      </w:r>
      <w:r w:rsidRPr="00BD00A9">
        <w:rPr>
          <w:rFonts w:ascii="Times New Roman" w:hAnsi="Times New Roman"/>
          <w:b/>
          <w:bCs/>
          <w:noProof/>
          <w:sz w:val="24"/>
          <w:szCs w:val="24"/>
          <w:lang w:val="en-IE"/>
        </w:rPr>
        <w:t>coordination of social security systems</w:t>
      </w:r>
      <w:r w:rsidRPr="00BD00A9">
        <w:rPr>
          <w:rFonts w:ascii="Times New Roman" w:hAnsi="Times New Roman"/>
          <w:noProof/>
          <w:sz w:val="24"/>
          <w:szCs w:val="24"/>
          <w:lang w:val="en-IE"/>
        </w:rPr>
        <w:t xml:space="preserve"> in Europe, in a Communication</w:t>
      </w:r>
      <w:r w:rsidR="0013576E" w:rsidRPr="00BD00A9">
        <w:rPr>
          <w:rFonts w:ascii="Times New Roman" w:hAnsi="Times New Roman"/>
          <w:noProof/>
          <w:sz w:val="24"/>
          <w:szCs w:val="24"/>
          <w:lang w:val="en-IE"/>
        </w:rPr>
        <w:t xml:space="preserve"> on this issue</w:t>
      </w:r>
      <w:r w:rsidRPr="00BD00A9">
        <w:rPr>
          <w:rStyle w:val="FootnoteReference"/>
          <w:rFonts w:ascii="Times New Roman" w:hAnsi="Times New Roman"/>
          <w:noProof/>
          <w:sz w:val="24"/>
          <w:szCs w:val="24"/>
          <w:lang w:val="en-IE"/>
        </w:rPr>
        <w:footnoteReference w:id="94"/>
      </w:r>
      <w:r w:rsidRPr="00BD00A9">
        <w:rPr>
          <w:rFonts w:ascii="Times New Roman" w:hAnsi="Times New Roman"/>
          <w:noProof/>
          <w:sz w:val="24"/>
          <w:szCs w:val="24"/>
          <w:lang w:val="en-IE"/>
        </w:rPr>
        <w:t>. It lays out actions to make access to social security services quicker and simpler across borders by making full use of digital tools</w:t>
      </w:r>
      <w:r w:rsidR="0013576E" w:rsidRPr="00BD00A9">
        <w:rPr>
          <w:rFonts w:ascii="Times New Roman" w:hAnsi="Times New Roman"/>
          <w:noProof/>
          <w:sz w:val="24"/>
          <w:szCs w:val="24"/>
          <w:lang w:val="en-IE"/>
        </w:rPr>
        <w:t xml:space="preserve"> and</w:t>
      </w:r>
      <w:r w:rsidRPr="00BD00A9">
        <w:rPr>
          <w:rFonts w:ascii="Times New Roman" w:hAnsi="Times New Roman"/>
          <w:noProof/>
          <w:sz w:val="24"/>
          <w:szCs w:val="24"/>
          <w:lang w:val="en-IE"/>
        </w:rPr>
        <w:t xml:space="preserve"> reducing administrative burden for citizens and business. This will improve exchanges of information between national social security institutions and speed up the recognition and granting of eligible benefits across borders. It will thus make it easier for Europeans to live, work and travel abroad, for companies to do business in other EU countries, and for national administrations to coordinate social security across borders.</w:t>
      </w:r>
    </w:p>
    <w:p w14:paraId="08604CD1" w14:textId="5E9C4A3B" w:rsidR="009C6B02" w:rsidRPr="00BD00A9" w:rsidRDefault="009C6B02" w:rsidP="009C6B02">
      <w:pPr>
        <w:pStyle w:val="Heading3"/>
        <w:rPr>
          <w:noProof/>
        </w:rPr>
      </w:pPr>
      <w:bookmarkStart w:id="49" w:name="_Int_AwIG2AAA"/>
      <w:bookmarkStart w:id="50" w:name="_Toc150854716"/>
      <w:bookmarkStart w:id="51" w:name="_Toc152502497"/>
      <w:bookmarkEnd w:id="49"/>
      <w:r w:rsidRPr="00BD00A9">
        <w:rPr>
          <w:noProof/>
        </w:rPr>
        <w:t>Developments on identity cards and residence documents</w:t>
      </w:r>
      <w:bookmarkEnd w:id="50"/>
      <w:bookmarkEnd w:id="51"/>
    </w:p>
    <w:p w14:paraId="649E4E1A" w14:textId="5F3EEA3F" w:rsidR="00D855E4" w:rsidRPr="00BD00A9" w:rsidRDefault="00A252E1" w:rsidP="00D855E4">
      <w:pPr>
        <w:spacing w:after="240" w:line="276" w:lineRule="auto"/>
        <w:jc w:val="both"/>
        <w:rPr>
          <w:rFonts w:ascii="Times New Roman" w:hAnsi="Times New Roman"/>
          <w:noProof/>
          <w:sz w:val="24"/>
          <w:szCs w:val="24"/>
          <w:lang w:val="en-IE"/>
        </w:rPr>
      </w:pPr>
      <w:r>
        <w:rPr>
          <w:rFonts w:ascii="Times New Roman" w:hAnsi="Times New Roman"/>
          <w:noProof/>
          <w:sz w:val="24"/>
          <w:szCs w:val="24"/>
          <w:lang w:val="en-IE"/>
        </w:rPr>
        <w:t xml:space="preserve">Since 2 August 2021, the </w:t>
      </w:r>
      <w:r w:rsidR="001819A8" w:rsidRPr="00BD00A9">
        <w:rPr>
          <w:rFonts w:ascii="Times New Roman" w:hAnsi="Times New Roman"/>
          <w:noProof/>
          <w:sz w:val="24"/>
          <w:szCs w:val="24"/>
          <w:lang w:val="en-IE"/>
        </w:rPr>
        <w:t xml:space="preserve">Regulation on strengthening the </w:t>
      </w:r>
      <w:r w:rsidR="001819A8" w:rsidRPr="00BD00A9">
        <w:rPr>
          <w:rFonts w:ascii="Times New Roman" w:hAnsi="Times New Roman"/>
          <w:b/>
          <w:bCs/>
          <w:noProof/>
          <w:sz w:val="24"/>
          <w:szCs w:val="24"/>
          <w:lang w:val="en-IE"/>
        </w:rPr>
        <w:t>security of EU citizens’ identity cards and of residence documents</w:t>
      </w:r>
      <w:r w:rsidR="001819A8" w:rsidRPr="00BD00A9">
        <w:rPr>
          <w:rFonts w:ascii="Times New Roman" w:hAnsi="Times New Roman"/>
          <w:noProof/>
          <w:sz w:val="24"/>
          <w:szCs w:val="24"/>
          <w:lang w:val="en-IE"/>
        </w:rPr>
        <w:t xml:space="preserve"> issued to EU citizens and their family members exercising their right of free movement</w:t>
      </w:r>
      <w:r w:rsidR="00D45EF8" w:rsidRPr="00BD00A9">
        <w:rPr>
          <w:rFonts w:ascii="Times New Roman" w:hAnsi="Times New Roman"/>
          <w:noProof/>
          <w:sz w:val="24"/>
          <w:szCs w:val="24"/>
          <w:lang w:val="en-IE"/>
        </w:rPr>
        <w:t xml:space="preserve"> </w:t>
      </w:r>
      <w:r w:rsidR="00992742" w:rsidRPr="00BD00A9">
        <w:rPr>
          <w:rFonts w:ascii="Times New Roman" w:hAnsi="Times New Roman"/>
          <w:noProof/>
          <w:sz w:val="24"/>
          <w:szCs w:val="24"/>
          <w:lang w:val="en-IE"/>
        </w:rPr>
        <w:t>has been applicable to all Member States</w:t>
      </w:r>
      <w:r w:rsidRPr="00BD00A9">
        <w:rPr>
          <w:rStyle w:val="FootnoteReference"/>
          <w:rFonts w:ascii="Times New Roman" w:hAnsi="Times New Roman"/>
          <w:noProof/>
          <w:sz w:val="24"/>
          <w:szCs w:val="24"/>
          <w:lang w:val="en-IE"/>
        </w:rPr>
        <w:footnoteReference w:id="95"/>
      </w:r>
      <w:r w:rsidR="001819A8" w:rsidRPr="00BD00A9">
        <w:rPr>
          <w:rFonts w:ascii="Times New Roman" w:hAnsi="Times New Roman"/>
          <w:noProof/>
          <w:sz w:val="24"/>
          <w:szCs w:val="24"/>
          <w:lang w:val="en-IE"/>
        </w:rPr>
        <w:t xml:space="preserve">. </w:t>
      </w:r>
      <w:r w:rsidR="00265CA0" w:rsidRPr="00BD00A9">
        <w:rPr>
          <w:rFonts w:ascii="Times New Roman" w:hAnsi="Times New Roman"/>
          <w:noProof/>
          <w:sz w:val="24"/>
          <w:szCs w:val="24"/>
          <w:lang w:val="en-IE"/>
        </w:rPr>
        <w:t xml:space="preserve">On </w:t>
      </w:r>
      <w:r w:rsidR="00E31958" w:rsidRPr="00BD00A9">
        <w:rPr>
          <w:rFonts w:ascii="Times New Roman" w:hAnsi="Times New Roman"/>
          <w:noProof/>
          <w:sz w:val="24"/>
          <w:szCs w:val="24"/>
          <w:lang w:val="en-IE"/>
        </w:rPr>
        <w:t>20 September 2023</w:t>
      </w:r>
      <w:r w:rsidR="00265CA0" w:rsidRPr="00BD00A9">
        <w:rPr>
          <w:rFonts w:ascii="Times New Roman" w:hAnsi="Times New Roman"/>
          <w:noProof/>
          <w:sz w:val="24"/>
          <w:szCs w:val="24"/>
          <w:lang w:val="en-IE"/>
        </w:rPr>
        <w:t xml:space="preserve">, the Commission published a report </w:t>
      </w:r>
      <w:r w:rsidR="00D45EF8" w:rsidRPr="00BD00A9">
        <w:rPr>
          <w:rFonts w:ascii="Times New Roman" w:hAnsi="Times New Roman"/>
          <w:noProof/>
          <w:sz w:val="24"/>
          <w:szCs w:val="24"/>
          <w:lang w:val="en-IE"/>
        </w:rPr>
        <w:t xml:space="preserve">on </w:t>
      </w:r>
      <w:r w:rsidR="00265CA0" w:rsidRPr="00BD00A9">
        <w:rPr>
          <w:rFonts w:ascii="Times New Roman" w:hAnsi="Times New Roman"/>
          <w:noProof/>
          <w:sz w:val="24"/>
          <w:szCs w:val="24"/>
          <w:lang w:val="en-IE"/>
        </w:rPr>
        <w:t xml:space="preserve">the </w:t>
      </w:r>
      <w:r w:rsidR="00D45EF8" w:rsidRPr="00BD00A9">
        <w:rPr>
          <w:rFonts w:ascii="Times New Roman" w:hAnsi="Times New Roman"/>
          <w:noProof/>
          <w:sz w:val="24"/>
          <w:szCs w:val="24"/>
          <w:lang w:val="en-IE"/>
        </w:rPr>
        <w:t>implementation</w:t>
      </w:r>
      <w:r w:rsidR="00265CA0" w:rsidRPr="00BD00A9">
        <w:rPr>
          <w:rFonts w:ascii="Times New Roman" w:hAnsi="Times New Roman"/>
          <w:noProof/>
          <w:sz w:val="24"/>
          <w:szCs w:val="24"/>
          <w:lang w:val="en-IE"/>
        </w:rPr>
        <w:t xml:space="preserve"> of the Regulation</w:t>
      </w:r>
      <w:r w:rsidR="00D45EF8" w:rsidRPr="00BD00A9">
        <w:rPr>
          <w:rFonts w:ascii="Times New Roman" w:hAnsi="Times New Roman"/>
          <w:noProof/>
          <w:sz w:val="24"/>
          <w:szCs w:val="24"/>
          <w:lang w:val="en-IE"/>
        </w:rPr>
        <w:t>, in particular on the protection of fundamental rights and personal data</w:t>
      </w:r>
      <w:r w:rsidR="00D45EF8" w:rsidRPr="00BD00A9">
        <w:rPr>
          <w:rStyle w:val="FootnoteReference"/>
          <w:rFonts w:ascii="Times New Roman" w:hAnsi="Times New Roman"/>
          <w:noProof/>
          <w:sz w:val="24"/>
          <w:szCs w:val="24"/>
          <w:lang w:val="en-IE"/>
        </w:rPr>
        <w:footnoteReference w:id="96"/>
      </w:r>
      <w:r w:rsidR="00D45EF8" w:rsidRPr="00BD00A9">
        <w:rPr>
          <w:rFonts w:ascii="Times New Roman" w:hAnsi="Times New Roman"/>
          <w:noProof/>
          <w:sz w:val="24"/>
          <w:szCs w:val="24"/>
          <w:lang w:val="en-IE"/>
        </w:rPr>
        <w:t xml:space="preserve">. </w:t>
      </w:r>
    </w:p>
    <w:p w14:paraId="4BF18AA2" w14:textId="34C56780" w:rsidR="00D45EF8" w:rsidRPr="00BD00A9" w:rsidRDefault="7FFD865F" w:rsidP="00D45EF8">
      <w:pPr>
        <w:spacing w:after="240" w:line="276" w:lineRule="auto"/>
        <w:jc w:val="both"/>
        <w:rPr>
          <w:rFonts w:ascii="Times New Roman" w:hAnsi="Times New Roman"/>
          <w:noProof/>
          <w:sz w:val="24"/>
          <w:szCs w:val="24"/>
          <w:lang w:val="en-IE"/>
        </w:rPr>
      </w:pPr>
      <w:r w:rsidRPr="00BD00A9">
        <w:rPr>
          <w:rFonts w:ascii="Times New Roman" w:hAnsi="Times New Roman"/>
          <w:noProof/>
          <w:sz w:val="24"/>
          <w:szCs w:val="24"/>
          <w:lang w:val="en-IE"/>
        </w:rPr>
        <w:t xml:space="preserve">The Commission </w:t>
      </w:r>
      <w:r w:rsidR="002546CC" w:rsidRPr="00BD00A9">
        <w:rPr>
          <w:rFonts w:ascii="Times New Roman" w:hAnsi="Times New Roman"/>
          <w:noProof/>
          <w:sz w:val="24"/>
          <w:szCs w:val="24"/>
          <w:lang w:val="en-IE"/>
        </w:rPr>
        <w:t xml:space="preserve">also </w:t>
      </w:r>
      <w:r w:rsidRPr="00BD00A9">
        <w:rPr>
          <w:rFonts w:ascii="Times New Roman" w:hAnsi="Times New Roman"/>
          <w:noProof/>
          <w:sz w:val="24"/>
          <w:szCs w:val="24"/>
          <w:lang w:val="en-IE"/>
        </w:rPr>
        <w:t xml:space="preserve">announced that, following an in-depth assessment and the necessary consultations, it intends to present a proposal for a </w:t>
      </w:r>
      <w:r w:rsidR="00992742" w:rsidRPr="00BD00A9">
        <w:rPr>
          <w:rFonts w:ascii="Times New Roman" w:hAnsi="Times New Roman"/>
          <w:b/>
          <w:bCs/>
          <w:noProof/>
          <w:sz w:val="24"/>
          <w:szCs w:val="24"/>
          <w:lang w:val="en-IE"/>
        </w:rPr>
        <w:t>r</w:t>
      </w:r>
      <w:r w:rsidRPr="00BD00A9">
        <w:rPr>
          <w:rFonts w:ascii="Times New Roman" w:hAnsi="Times New Roman"/>
          <w:b/>
          <w:bCs/>
          <w:noProof/>
          <w:sz w:val="24"/>
          <w:szCs w:val="24"/>
          <w:lang w:val="en-IE"/>
        </w:rPr>
        <w:t>egulation on digitalisation of travel documents and facilitation of travel</w:t>
      </w:r>
      <w:r w:rsidR="002546CC" w:rsidRPr="00BD00A9">
        <w:rPr>
          <w:rStyle w:val="FootnoteReference"/>
          <w:rFonts w:ascii="Times New Roman" w:hAnsi="Times New Roman"/>
          <w:b/>
          <w:bCs/>
          <w:noProof/>
          <w:sz w:val="24"/>
          <w:szCs w:val="24"/>
          <w:lang w:val="en-IE"/>
        </w:rPr>
        <w:footnoteReference w:id="97"/>
      </w:r>
      <w:r w:rsidRPr="00BD00A9">
        <w:rPr>
          <w:rFonts w:ascii="Times New Roman" w:hAnsi="Times New Roman"/>
          <w:noProof/>
          <w:sz w:val="24"/>
          <w:szCs w:val="24"/>
          <w:lang w:val="en-IE"/>
        </w:rPr>
        <w:t xml:space="preserve">. By introducing digital travel documents for </w:t>
      </w:r>
      <w:r w:rsidR="2E4E4491" w:rsidRPr="00BD00A9">
        <w:rPr>
          <w:rFonts w:ascii="Times New Roman" w:hAnsi="Times New Roman"/>
          <w:noProof/>
          <w:sz w:val="24"/>
          <w:szCs w:val="24"/>
          <w:lang w:val="en-IE"/>
        </w:rPr>
        <w:t xml:space="preserve">EU </w:t>
      </w:r>
      <w:r w:rsidRPr="00BD00A9">
        <w:rPr>
          <w:rFonts w:ascii="Times New Roman" w:hAnsi="Times New Roman"/>
          <w:noProof/>
          <w:sz w:val="24"/>
          <w:szCs w:val="24"/>
          <w:lang w:val="en-IE"/>
        </w:rPr>
        <w:t xml:space="preserve">citizens, the Commission aims to facilitate travel across external borders, to relieve pressure and bottlenecks at border-crossing points to shorten waiting times </w:t>
      </w:r>
      <w:r w:rsidR="00992742" w:rsidRPr="00BD00A9">
        <w:rPr>
          <w:rFonts w:ascii="Times New Roman" w:hAnsi="Times New Roman"/>
          <w:noProof/>
          <w:sz w:val="24"/>
          <w:szCs w:val="24"/>
          <w:lang w:val="en-IE"/>
        </w:rPr>
        <w:t>and</w:t>
      </w:r>
      <w:r w:rsidRPr="00BD00A9">
        <w:rPr>
          <w:rFonts w:ascii="Times New Roman" w:hAnsi="Times New Roman"/>
          <w:noProof/>
          <w:sz w:val="24"/>
          <w:szCs w:val="24"/>
          <w:lang w:val="en-IE"/>
        </w:rPr>
        <w:t xml:space="preserve"> increase the security and efficiency of border checks. It also aims to facilitate the exercise of free movement for </w:t>
      </w:r>
      <w:r w:rsidR="726C6DFF" w:rsidRPr="00BD00A9">
        <w:rPr>
          <w:rFonts w:ascii="Times New Roman" w:hAnsi="Times New Roman"/>
          <w:noProof/>
          <w:sz w:val="24"/>
          <w:szCs w:val="24"/>
          <w:lang w:val="en-IE"/>
        </w:rPr>
        <w:t>E</w:t>
      </w:r>
      <w:r w:rsidRPr="00BD00A9">
        <w:rPr>
          <w:rFonts w:ascii="Times New Roman" w:hAnsi="Times New Roman"/>
          <w:noProof/>
          <w:sz w:val="24"/>
          <w:szCs w:val="24"/>
          <w:lang w:val="en-IE"/>
        </w:rPr>
        <w:t xml:space="preserve">U citizens and their family members. </w:t>
      </w:r>
    </w:p>
    <w:p w14:paraId="44BC2A94" w14:textId="14205A77" w:rsidR="001E0B3D" w:rsidRPr="00BD00A9" w:rsidRDefault="001E0B3D" w:rsidP="001E0B3D">
      <w:pPr>
        <w:spacing w:after="240" w:line="276" w:lineRule="auto"/>
        <w:jc w:val="both"/>
        <w:rPr>
          <w:rFonts w:ascii="Times New Roman" w:hAnsi="Times New Roman"/>
          <w:noProof/>
          <w:sz w:val="24"/>
          <w:szCs w:val="24"/>
          <w:lang w:val="en-IE"/>
        </w:rPr>
      </w:pPr>
      <w:r w:rsidRPr="00BD00A9">
        <w:rPr>
          <w:rFonts w:ascii="Times New Roman" w:hAnsi="Times New Roman"/>
          <w:noProof/>
          <w:sz w:val="24"/>
          <w:szCs w:val="24"/>
          <w:lang w:val="en-IE"/>
        </w:rPr>
        <w:t xml:space="preserve">The Commission </w:t>
      </w:r>
      <w:r w:rsidR="00992742" w:rsidRPr="00BD00A9">
        <w:rPr>
          <w:rFonts w:ascii="Times New Roman" w:hAnsi="Times New Roman"/>
          <w:noProof/>
          <w:sz w:val="24"/>
          <w:szCs w:val="24"/>
          <w:lang w:val="en-IE"/>
        </w:rPr>
        <w:t xml:space="preserve">is </w:t>
      </w:r>
      <w:r w:rsidRPr="00BD00A9">
        <w:rPr>
          <w:rFonts w:ascii="Times New Roman" w:hAnsi="Times New Roman"/>
          <w:noProof/>
          <w:sz w:val="24"/>
          <w:szCs w:val="24"/>
          <w:lang w:val="en-IE"/>
        </w:rPr>
        <w:t>also continu</w:t>
      </w:r>
      <w:r w:rsidR="00992742" w:rsidRPr="00BD00A9">
        <w:rPr>
          <w:rFonts w:ascii="Times New Roman" w:hAnsi="Times New Roman"/>
          <w:noProof/>
          <w:sz w:val="24"/>
          <w:szCs w:val="24"/>
          <w:lang w:val="en-IE"/>
        </w:rPr>
        <w:t>ing</w:t>
      </w:r>
      <w:r w:rsidRPr="00BD00A9">
        <w:rPr>
          <w:rFonts w:ascii="Times New Roman" w:hAnsi="Times New Roman"/>
          <w:noProof/>
          <w:sz w:val="24"/>
          <w:szCs w:val="24"/>
          <w:lang w:val="en-IE"/>
        </w:rPr>
        <w:t xml:space="preserve"> to explore ways to encourage the use of digital tools and innovations that make use of the capabilities offered by </w:t>
      </w:r>
      <w:r w:rsidR="000235D7" w:rsidRPr="00BD00A9">
        <w:rPr>
          <w:rFonts w:ascii="Times New Roman" w:hAnsi="Times New Roman"/>
          <w:noProof/>
          <w:sz w:val="24"/>
          <w:szCs w:val="24"/>
          <w:lang w:val="en-IE"/>
        </w:rPr>
        <w:t xml:space="preserve">identity </w:t>
      </w:r>
      <w:r w:rsidRPr="00BD00A9">
        <w:rPr>
          <w:rFonts w:ascii="Times New Roman" w:hAnsi="Times New Roman"/>
          <w:noProof/>
          <w:sz w:val="24"/>
          <w:szCs w:val="24"/>
          <w:lang w:val="en-IE"/>
        </w:rPr>
        <w:t xml:space="preserve">cards issued according to the new rules for </w:t>
      </w:r>
      <w:r w:rsidRPr="00BD00A9">
        <w:rPr>
          <w:rFonts w:ascii="Times New Roman" w:hAnsi="Times New Roman"/>
          <w:b/>
          <w:bCs/>
          <w:noProof/>
          <w:sz w:val="24"/>
          <w:szCs w:val="24"/>
          <w:lang w:val="en-IE"/>
        </w:rPr>
        <w:t>e-government and e-business</w:t>
      </w:r>
      <w:r w:rsidRPr="00BD00A9">
        <w:rPr>
          <w:rFonts w:ascii="Times New Roman" w:hAnsi="Times New Roman"/>
          <w:noProof/>
          <w:sz w:val="24"/>
          <w:szCs w:val="24"/>
          <w:lang w:val="en-IE"/>
        </w:rPr>
        <w:t xml:space="preserve"> services</w:t>
      </w:r>
      <w:r w:rsidR="00F87160" w:rsidRPr="00BD00A9">
        <w:rPr>
          <w:rFonts w:ascii="Times New Roman" w:hAnsi="Times New Roman"/>
          <w:noProof/>
          <w:sz w:val="24"/>
          <w:szCs w:val="24"/>
          <w:lang w:val="en-IE"/>
        </w:rPr>
        <w:t>, as well as ways to ensure that mobile EU citizens can also profit from such services</w:t>
      </w:r>
      <w:r w:rsidRPr="00BD00A9">
        <w:rPr>
          <w:rFonts w:ascii="Times New Roman" w:hAnsi="Times New Roman"/>
          <w:noProof/>
          <w:sz w:val="24"/>
          <w:szCs w:val="24"/>
          <w:lang w:val="en-IE"/>
        </w:rPr>
        <w:t xml:space="preserve">. </w:t>
      </w:r>
    </w:p>
    <w:p w14:paraId="01BA4B8F" w14:textId="52A61F51" w:rsidR="00D56C87" w:rsidRPr="00BD00A9" w:rsidRDefault="00206677" w:rsidP="00D56C87">
      <w:pPr>
        <w:spacing w:after="240" w:line="276" w:lineRule="auto"/>
        <w:jc w:val="both"/>
        <w:rPr>
          <w:rFonts w:ascii="Times New Roman" w:hAnsi="Times New Roman"/>
          <w:noProof/>
          <w:sz w:val="24"/>
          <w:szCs w:val="24"/>
          <w:lang w:val="en-IE"/>
        </w:rPr>
      </w:pPr>
      <w:r w:rsidRPr="00BD00A9">
        <w:rPr>
          <w:rFonts w:ascii="Times New Roman" w:hAnsi="Times New Roman" w:cs="Times New Roman"/>
          <w:noProof/>
          <w:sz w:val="24"/>
          <w:szCs w:val="24"/>
        </w:rPr>
        <w:t xml:space="preserve">On 8 November 2023, the European Parliament and the Council reached a </w:t>
      </w:r>
      <w:r w:rsidR="00DB0862">
        <w:rPr>
          <w:rFonts w:ascii="Times New Roman" w:hAnsi="Times New Roman" w:cs="Times New Roman"/>
          <w:noProof/>
          <w:sz w:val="24"/>
          <w:szCs w:val="24"/>
        </w:rPr>
        <w:t>political</w:t>
      </w:r>
      <w:r w:rsidRPr="00BD00A9">
        <w:rPr>
          <w:rFonts w:ascii="Times New Roman" w:hAnsi="Times New Roman" w:cs="Times New Roman"/>
          <w:noProof/>
          <w:sz w:val="24"/>
          <w:szCs w:val="24"/>
        </w:rPr>
        <w:t xml:space="preserve"> agreement on the Regulation </w:t>
      </w:r>
      <w:r w:rsidR="00DB0862">
        <w:rPr>
          <w:rFonts w:ascii="Times New Roman" w:hAnsi="Times New Roman" w:cs="Times New Roman"/>
          <w:noProof/>
          <w:sz w:val="24"/>
          <w:szCs w:val="24"/>
        </w:rPr>
        <w:t xml:space="preserve">establishing a framework for a </w:t>
      </w:r>
      <w:r w:rsidR="0EB1DC8A" w:rsidRPr="00BD00A9">
        <w:rPr>
          <w:rFonts w:ascii="Times New Roman" w:hAnsi="Times New Roman" w:cs="Times New Roman"/>
          <w:b/>
          <w:bCs/>
          <w:noProof/>
          <w:sz w:val="24"/>
          <w:szCs w:val="24"/>
        </w:rPr>
        <w:t>European Digital Identity</w:t>
      </w:r>
      <w:r w:rsidRPr="00BD00A9">
        <w:rPr>
          <w:rFonts w:ascii="Times New Roman" w:hAnsi="Times New Roman" w:cs="Times New Roman"/>
          <w:noProof/>
          <w:sz w:val="24"/>
          <w:szCs w:val="24"/>
        </w:rPr>
        <w:t xml:space="preserve">, as </w:t>
      </w:r>
      <w:r w:rsidR="00453985" w:rsidRPr="00BD00A9">
        <w:rPr>
          <w:rFonts w:ascii="Times New Roman" w:hAnsi="Times New Roman" w:cs="Times New Roman"/>
          <w:noProof/>
          <w:sz w:val="24"/>
          <w:szCs w:val="24"/>
        </w:rPr>
        <w:t>proposed by the Commission in June 2021</w:t>
      </w:r>
      <w:r w:rsidR="000C7F87" w:rsidRPr="00BD00A9">
        <w:rPr>
          <w:rStyle w:val="FootnoteReference"/>
          <w:rFonts w:ascii="Times New Roman" w:hAnsi="Times New Roman" w:cs="Times New Roman"/>
          <w:noProof/>
          <w:sz w:val="24"/>
          <w:szCs w:val="24"/>
        </w:rPr>
        <w:footnoteReference w:id="98"/>
      </w:r>
      <w:r w:rsidRPr="00BD00A9">
        <w:rPr>
          <w:rFonts w:ascii="Times New Roman" w:hAnsi="Times New Roman" w:cs="Times New Roman"/>
          <w:noProof/>
          <w:sz w:val="24"/>
          <w:szCs w:val="24"/>
        </w:rPr>
        <w:t>.</w:t>
      </w:r>
      <w:r w:rsidR="0EB1DC8A" w:rsidRPr="00BD00A9">
        <w:rPr>
          <w:rFonts w:ascii="Times New Roman" w:hAnsi="Times New Roman" w:cs="Times New Roman"/>
          <w:noProof/>
          <w:sz w:val="24"/>
          <w:szCs w:val="24"/>
        </w:rPr>
        <w:t xml:space="preserve"> </w:t>
      </w:r>
      <w:r w:rsidR="00DB0862">
        <w:rPr>
          <w:rFonts w:ascii="Times New Roman" w:hAnsi="Times New Roman" w:cs="Times New Roman"/>
          <w:noProof/>
          <w:sz w:val="24"/>
          <w:szCs w:val="24"/>
        </w:rPr>
        <w:t>The framework requires Member States to make European Digital Identity Wallets (</w:t>
      </w:r>
      <w:r w:rsidRPr="00BD00A9">
        <w:rPr>
          <w:rFonts w:ascii="Times New Roman" w:hAnsi="Times New Roman" w:cs="Times New Roman"/>
          <w:noProof/>
          <w:sz w:val="24"/>
          <w:szCs w:val="24"/>
        </w:rPr>
        <w:t>EDIWs</w:t>
      </w:r>
      <w:r w:rsidR="00DB0862">
        <w:rPr>
          <w:rFonts w:ascii="Times New Roman" w:hAnsi="Times New Roman" w:cs="Times New Roman"/>
          <w:noProof/>
          <w:sz w:val="24"/>
          <w:szCs w:val="24"/>
        </w:rPr>
        <w:t xml:space="preserve">) </w:t>
      </w:r>
      <w:r w:rsidR="3C8D3277" w:rsidRPr="00BD00A9">
        <w:rPr>
          <w:rFonts w:ascii="Times New Roman" w:hAnsi="Times New Roman"/>
          <w:noProof/>
          <w:sz w:val="24"/>
          <w:szCs w:val="24"/>
          <w:lang w:val="en-IE"/>
        </w:rPr>
        <w:t xml:space="preserve">available to </w:t>
      </w:r>
      <w:r w:rsidR="00DB0862">
        <w:rPr>
          <w:rFonts w:ascii="Times New Roman" w:hAnsi="Times New Roman"/>
          <w:noProof/>
          <w:sz w:val="24"/>
          <w:szCs w:val="24"/>
          <w:lang w:val="en-IE"/>
        </w:rPr>
        <w:t xml:space="preserve">all </w:t>
      </w:r>
      <w:r w:rsidR="33C37155" w:rsidRPr="00BD00A9">
        <w:rPr>
          <w:rFonts w:ascii="Times New Roman" w:hAnsi="Times New Roman"/>
          <w:noProof/>
          <w:sz w:val="24"/>
          <w:szCs w:val="24"/>
          <w:lang w:val="en-IE"/>
        </w:rPr>
        <w:t>E</w:t>
      </w:r>
      <w:r w:rsidR="3C8D3277" w:rsidRPr="00BD00A9">
        <w:rPr>
          <w:rFonts w:ascii="Times New Roman" w:hAnsi="Times New Roman"/>
          <w:noProof/>
          <w:sz w:val="24"/>
          <w:szCs w:val="24"/>
          <w:lang w:val="en-IE"/>
        </w:rPr>
        <w:t>U citizens, residents, and businesses</w:t>
      </w:r>
      <w:r w:rsidR="00992742" w:rsidRPr="00BD00A9">
        <w:rPr>
          <w:rFonts w:ascii="Times New Roman" w:hAnsi="Times New Roman"/>
          <w:noProof/>
          <w:sz w:val="24"/>
          <w:szCs w:val="24"/>
          <w:lang w:val="en-IE"/>
        </w:rPr>
        <w:t xml:space="preserve">, allowing them </w:t>
      </w:r>
      <w:r w:rsidR="3C8D3277" w:rsidRPr="00BD00A9">
        <w:rPr>
          <w:rFonts w:ascii="Times New Roman" w:hAnsi="Times New Roman"/>
          <w:noProof/>
          <w:sz w:val="24"/>
          <w:szCs w:val="24"/>
          <w:lang w:val="en-IE"/>
        </w:rPr>
        <w:t xml:space="preserve">to identify themselves online and offline </w:t>
      </w:r>
      <w:r w:rsidR="00453985" w:rsidRPr="00BD00A9">
        <w:rPr>
          <w:rFonts w:ascii="Times New Roman" w:hAnsi="Times New Roman"/>
          <w:noProof/>
          <w:sz w:val="24"/>
          <w:szCs w:val="24"/>
          <w:lang w:val="en-IE"/>
        </w:rPr>
        <w:t xml:space="preserve">seamlessly across borders </w:t>
      </w:r>
      <w:r w:rsidR="3C8D3277" w:rsidRPr="00BD00A9">
        <w:rPr>
          <w:rFonts w:ascii="Times New Roman" w:hAnsi="Times New Roman"/>
          <w:noProof/>
          <w:sz w:val="24"/>
          <w:szCs w:val="24"/>
          <w:lang w:val="en-IE"/>
        </w:rPr>
        <w:t xml:space="preserve">for public and private services. The </w:t>
      </w:r>
      <w:r w:rsidR="00453985" w:rsidRPr="00BD00A9">
        <w:rPr>
          <w:rFonts w:ascii="Times New Roman" w:hAnsi="Times New Roman"/>
          <w:noProof/>
          <w:sz w:val="24"/>
          <w:szCs w:val="24"/>
          <w:lang w:val="en-IE"/>
        </w:rPr>
        <w:t>new</w:t>
      </w:r>
      <w:r w:rsidR="3C8D3277" w:rsidRPr="00BD00A9">
        <w:rPr>
          <w:rFonts w:ascii="Times New Roman" w:hAnsi="Times New Roman"/>
          <w:noProof/>
          <w:sz w:val="24"/>
          <w:szCs w:val="24"/>
          <w:lang w:val="en-IE"/>
        </w:rPr>
        <w:t xml:space="preserve"> </w:t>
      </w:r>
      <w:r w:rsidR="00992742" w:rsidRPr="00BD00A9">
        <w:rPr>
          <w:rFonts w:ascii="Times New Roman" w:hAnsi="Times New Roman"/>
          <w:noProof/>
          <w:sz w:val="24"/>
          <w:szCs w:val="24"/>
          <w:lang w:val="en-IE"/>
        </w:rPr>
        <w:t>r</w:t>
      </w:r>
      <w:r w:rsidR="3C8D3277" w:rsidRPr="00BD00A9">
        <w:rPr>
          <w:rFonts w:ascii="Times New Roman" w:hAnsi="Times New Roman"/>
          <w:noProof/>
          <w:sz w:val="24"/>
          <w:szCs w:val="24"/>
          <w:lang w:val="en-IE"/>
        </w:rPr>
        <w:t xml:space="preserve">egulation </w:t>
      </w:r>
      <w:r w:rsidR="00453985" w:rsidRPr="00BD00A9">
        <w:rPr>
          <w:rFonts w:ascii="Times New Roman" w:hAnsi="Times New Roman"/>
          <w:noProof/>
          <w:sz w:val="24"/>
          <w:szCs w:val="24"/>
          <w:lang w:val="en-IE"/>
        </w:rPr>
        <w:t>will</w:t>
      </w:r>
      <w:r w:rsidR="3C8D3277" w:rsidRPr="00BD00A9">
        <w:rPr>
          <w:rFonts w:ascii="Times New Roman" w:hAnsi="Times New Roman"/>
          <w:noProof/>
          <w:sz w:val="24"/>
          <w:szCs w:val="24"/>
          <w:lang w:val="en-IE"/>
        </w:rPr>
        <w:t xml:space="preserve"> establish a </w:t>
      </w:r>
      <w:r w:rsidR="00453985" w:rsidRPr="00BD00A9">
        <w:rPr>
          <w:rFonts w:ascii="Times New Roman" w:hAnsi="Times New Roman"/>
          <w:noProof/>
          <w:sz w:val="24"/>
          <w:szCs w:val="24"/>
          <w:lang w:val="en-IE"/>
        </w:rPr>
        <w:t xml:space="preserve">harmonised </w:t>
      </w:r>
      <w:r w:rsidR="3C8D3277" w:rsidRPr="00BD00A9">
        <w:rPr>
          <w:rFonts w:ascii="Times New Roman" w:hAnsi="Times New Roman"/>
          <w:noProof/>
          <w:sz w:val="24"/>
          <w:szCs w:val="24"/>
          <w:lang w:val="en-IE"/>
        </w:rPr>
        <w:t xml:space="preserve">secure framework where citizens can link their national digital identities with digital attributes and credentials </w:t>
      </w:r>
      <w:r w:rsidR="00DB0862">
        <w:rPr>
          <w:rFonts w:ascii="Times New Roman" w:hAnsi="Times New Roman"/>
          <w:noProof/>
          <w:sz w:val="24"/>
          <w:szCs w:val="24"/>
          <w:lang w:val="en-IE"/>
        </w:rPr>
        <w:t>(e.g. professional qualifications or diplomas)</w:t>
      </w:r>
      <w:r w:rsidR="00DB0862" w:rsidRPr="00BD00A9">
        <w:rPr>
          <w:rFonts w:ascii="Times New Roman" w:hAnsi="Times New Roman"/>
          <w:noProof/>
          <w:sz w:val="24"/>
          <w:szCs w:val="24"/>
          <w:lang w:val="en-IE"/>
        </w:rPr>
        <w:t xml:space="preserve"> </w:t>
      </w:r>
      <w:r w:rsidR="3C8D3277" w:rsidRPr="00BD00A9">
        <w:rPr>
          <w:rFonts w:ascii="Times New Roman" w:hAnsi="Times New Roman"/>
          <w:noProof/>
          <w:sz w:val="24"/>
          <w:szCs w:val="24"/>
          <w:lang w:val="en-IE"/>
        </w:rPr>
        <w:t xml:space="preserve">that will enable them to replace a variety of physical cards and passes </w:t>
      </w:r>
      <w:r w:rsidR="00453985" w:rsidRPr="00BD00A9">
        <w:rPr>
          <w:rFonts w:ascii="Times New Roman" w:hAnsi="Times New Roman"/>
          <w:noProof/>
          <w:sz w:val="24"/>
          <w:szCs w:val="24"/>
          <w:lang w:val="en-IE"/>
        </w:rPr>
        <w:t xml:space="preserve">and sign electronically, </w:t>
      </w:r>
      <w:r w:rsidR="3C8D3277" w:rsidRPr="00BD00A9">
        <w:rPr>
          <w:rFonts w:ascii="Times New Roman" w:hAnsi="Times New Roman"/>
          <w:noProof/>
          <w:sz w:val="24"/>
          <w:szCs w:val="24"/>
          <w:lang w:val="en-IE"/>
        </w:rPr>
        <w:t xml:space="preserve">thus simplifying their everyday lives. </w:t>
      </w:r>
      <w:r w:rsidR="00DB0862">
        <w:rPr>
          <w:rFonts w:ascii="Times New Roman" w:hAnsi="Times New Roman"/>
          <w:noProof/>
          <w:sz w:val="24"/>
          <w:szCs w:val="24"/>
          <w:lang w:val="en-IE"/>
        </w:rPr>
        <w:t>For example, t</w:t>
      </w:r>
      <w:r w:rsidR="3C8D3277" w:rsidRPr="00BD00A9">
        <w:rPr>
          <w:rFonts w:ascii="Times New Roman" w:hAnsi="Times New Roman"/>
          <w:noProof/>
          <w:sz w:val="24"/>
          <w:szCs w:val="24"/>
          <w:lang w:val="en-IE"/>
        </w:rPr>
        <w:t xml:space="preserve">ravelling </w:t>
      </w:r>
      <w:r w:rsidR="00C568A5" w:rsidRPr="00BD00A9">
        <w:rPr>
          <w:rFonts w:ascii="Times New Roman" w:hAnsi="Times New Roman"/>
          <w:noProof/>
          <w:sz w:val="24"/>
          <w:szCs w:val="24"/>
          <w:lang w:val="en-IE"/>
        </w:rPr>
        <w:t>w</w:t>
      </w:r>
      <w:r w:rsidR="00833BA2" w:rsidRPr="00BD00A9">
        <w:rPr>
          <w:rFonts w:ascii="Times New Roman" w:hAnsi="Times New Roman"/>
          <w:noProof/>
          <w:sz w:val="24"/>
          <w:szCs w:val="24"/>
          <w:lang w:val="en-IE"/>
        </w:rPr>
        <w:t>ill</w:t>
      </w:r>
      <w:r w:rsidR="00C568A5" w:rsidRPr="00BD00A9">
        <w:rPr>
          <w:rFonts w:ascii="Times New Roman" w:hAnsi="Times New Roman"/>
          <w:noProof/>
          <w:sz w:val="24"/>
          <w:szCs w:val="24"/>
          <w:lang w:val="en-IE"/>
        </w:rPr>
        <w:t xml:space="preserve"> </w:t>
      </w:r>
      <w:r w:rsidR="3C8D3277" w:rsidRPr="00BD00A9">
        <w:rPr>
          <w:rFonts w:ascii="Times New Roman" w:hAnsi="Times New Roman"/>
          <w:noProof/>
          <w:sz w:val="24"/>
          <w:szCs w:val="24"/>
          <w:lang w:val="en-IE"/>
        </w:rPr>
        <w:t xml:space="preserve">be </w:t>
      </w:r>
      <w:r w:rsidR="00992742" w:rsidRPr="00BD00A9">
        <w:rPr>
          <w:rFonts w:ascii="Times New Roman" w:hAnsi="Times New Roman"/>
          <w:noProof/>
          <w:sz w:val="24"/>
          <w:szCs w:val="24"/>
          <w:lang w:val="en-IE"/>
        </w:rPr>
        <w:t xml:space="preserve">made </w:t>
      </w:r>
      <w:r w:rsidR="3C8D3277" w:rsidRPr="00BD00A9">
        <w:rPr>
          <w:rFonts w:ascii="Times New Roman" w:hAnsi="Times New Roman"/>
          <w:noProof/>
          <w:sz w:val="24"/>
          <w:szCs w:val="24"/>
          <w:lang w:val="en-IE"/>
        </w:rPr>
        <w:t xml:space="preserve">significantly </w:t>
      </w:r>
      <w:r w:rsidR="00992742" w:rsidRPr="00BD00A9">
        <w:rPr>
          <w:rFonts w:ascii="Times New Roman" w:hAnsi="Times New Roman"/>
          <w:noProof/>
          <w:sz w:val="24"/>
          <w:szCs w:val="24"/>
          <w:lang w:val="en-IE"/>
        </w:rPr>
        <w:t>easier</w:t>
      </w:r>
      <w:r w:rsidR="3C8D3277" w:rsidRPr="00BD00A9">
        <w:rPr>
          <w:rFonts w:ascii="Times New Roman" w:hAnsi="Times New Roman"/>
          <w:noProof/>
          <w:sz w:val="24"/>
          <w:szCs w:val="24"/>
          <w:lang w:val="en-IE"/>
        </w:rPr>
        <w:t xml:space="preserve"> as the E</w:t>
      </w:r>
      <w:r w:rsidRPr="00BD00A9">
        <w:rPr>
          <w:rFonts w:ascii="Times New Roman" w:hAnsi="Times New Roman"/>
          <w:noProof/>
          <w:sz w:val="24"/>
          <w:szCs w:val="24"/>
          <w:lang w:val="en-IE"/>
        </w:rPr>
        <w:t>DIWs</w:t>
      </w:r>
      <w:r w:rsidR="3C8D3277" w:rsidRPr="00BD00A9">
        <w:rPr>
          <w:rFonts w:ascii="Times New Roman" w:hAnsi="Times New Roman"/>
          <w:noProof/>
          <w:sz w:val="24"/>
          <w:szCs w:val="24"/>
          <w:lang w:val="en-IE"/>
        </w:rPr>
        <w:t xml:space="preserve"> can be used for checking in to a hotel or renting a car in all Member States. It </w:t>
      </w:r>
      <w:r w:rsidR="00C568A5" w:rsidRPr="00BD00A9">
        <w:rPr>
          <w:rFonts w:ascii="Times New Roman" w:hAnsi="Times New Roman"/>
          <w:noProof/>
          <w:sz w:val="24"/>
          <w:szCs w:val="24"/>
          <w:lang w:val="en-IE"/>
        </w:rPr>
        <w:t>w</w:t>
      </w:r>
      <w:r w:rsidR="00833BA2" w:rsidRPr="00BD00A9">
        <w:rPr>
          <w:rFonts w:ascii="Times New Roman" w:hAnsi="Times New Roman"/>
          <w:noProof/>
          <w:sz w:val="24"/>
          <w:szCs w:val="24"/>
          <w:lang w:val="en-IE"/>
        </w:rPr>
        <w:t>ill</w:t>
      </w:r>
      <w:r w:rsidR="00C568A5" w:rsidRPr="00BD00A9">
        <w:rPr>
          <w:rFonts w:ascii="Times New Roman" w:hAnsi="Times New Roman"/>
          <w:noProof/>
          <w:sz w:val="24"/>
          <w:szCs w:val="24"/>
          <w:lang w:val="en-IE"/>
        </w:rPr>
        <w:t xml:space="preserve"> </w:t>
      </w:r>
      <w:r w:rsidR="3C8D3277" w:rsidRPr="00BD00A9">
        <w:rPr>
          <w:rFonts w:ascii="Times New Roman" w:hAnsi="Times New Roman"/>
          <w:noProof/>
          <w:sz w:val="24"/>
          <w:szCs w:val="24"/>
          <w:lang w:val="en-IE"/>
        </w:rPr>
        <w:t xml:space="preserve">also have positive effects </w:t>
      </w:r>
      <w:r w:rsidR="00992742" w:rsidRPr="00BD00A9">
        <w:rPr>
          <w:rFonts w:ascii="Times New Roman" w:hAnsi="Times New Roman"/>
          <w:noProof/>
          <w:sz w:val="24"/>
          <w:szCs w:val="24"/>
          <w:lang w:val="en-IE"/>
        </w:rPr>
        <w:t>in terms of</w:t>
      </w:r>
      <w:r w:rsidR="3C8D3277" w:rsidRPr="00BD00A9">
        <w:rPr>
          <w:rFonts w:ascii="Times New Roman" w:hAnsi="Times New Roman"/>
          <w:noProof/>
          <w:sz w:val="24"/>
          <w:szCs w:val="24"/>
          <w:lang w:val="en-IE"/>
        </w:rPr>
        <w:t xml:space="preserve"> professional mobility: when starting a new job in another Member State, the </w:t>
      </w:r>
      <w:r w:rsidR="00AD6190" w:rsidRPr="00BD00A9">
        <w:rPr>
          <w:rFonts w:ascii="Times New Roman" w:hAnsi="Times New Roman"/>
          <w:noProof/>
          <w:sz w:val="24"/>
          <w:szCs w:val="24"/>
          <w:lang w:val="en-IE"/>
        </w:rPr>
        <w:t>EDIWs</w:t>
      </w:r>
      <w:r w:rsidR="3C8D3277" w:rsidRPr="00BD00A9">
        <w:rPr>
          <w:rFonts w:ascii="Times New Roman" w:hAnsi="Times New Roman"/>
          <w:noProof/>
          <w:sz w:val="24"/>
          <w:szCs w:val="24"/>
          <w:lang w:val="en-IE"/>
        </w:rPr>
        <w:t xml:space="preserve"> will make it much easier to </w:t>
      </w:r>
      <w:r w:rsidR="00453985" w:rsidRPr="00BD00A9">
        <w:rPr>
          <w:rFonts w:ascii="Times New Roman" w:hAnsi="Times New Roman"/>
          <w:noProof/>
          <w:sz w:val="24"/>
          <w:szCs w:val="24"/>
          <w:lang w:val="en-IE"/>
        </w:rPr>
        <w:t xml:space="preserve">sign </w:t>
      </w:r>
      <w:r w:rsidR="00DB0862">
        <w:rPr>
          <w:rFonts w:ascii="Times New Roman" w:hAnsi="Times New Roman"/>
          <w:noProof/>
          <w:sz w:val="24"/>
          <w:szCs w:val="24"/>
          <w:lang w:val="en-IE"/>
        </w:rPr>
        <w:t>an</w:t>
      </w:r>
      <w:r w:rsidR="00453985" w:rsidRPr="00BD00A9">
        <w:rPr>
          <w:rFonts w:ascii="Times New Roman" w:hAnsi="Times New Roman"/>
          <w:noProof/>
          <w:sz w:val="24"/>
          <w:szCs w:val="24"/>
          <w:lang w:val="en-IE"/>
        </w:rPr>
        <w:t xml:space="preserve"> employment contract, </w:t>
      </w:r>
      <w:r w:rsidR="3C8D3277" w:rsidRPr="00BD00A9">
        <w:rPr>
          <w:rFonts w:ascii="Times New Roman" w:hAnsi="Times New Roman"/>
          <w:noProof/>
          <w:sz w:val="24"/>
          <w:szCs w:val="24"/>
          <w:lang w:val="en-IE"/>
        </w:rPr>
        <w:t xml:space="preserve">deregister from the previous </w:t>
      </w:r>
      <w:r w:rsidR="00992742" w:rsidRPr="00BD00A9">
        <w:rPr>
          <w:rFonts w:ascii="Times New Roman" w:hAnsi="Times New Roman"/>
          <w:noProof/>
          <w:sz w:val="24"/>
          <w:szCs w:val="24"/>
          <w:lang w:val="en-IE"/>
        </w:rPr>
        <w:t xml:space="preserve">place of </w:t>
      </w:r>
      <w:r w:rsidR="3C8D3277" w:rsidRPr="00BD00A9">
        <w:rPr>
          <w:rFonts w:ascii="Times New Roman" w:hAnsi="Times New Roman"/>
          <w:noProof/>
          <w:sz w:val="24"/>
          <w:szCs w:val="24"/>
          <w:lang w:val="en-IE"/>
        </w:rPr>
        <w:t xml:space="preserve">residence and register at </w:t>
      </w:r>
      <w:r w:rsidR="00DB0862">
        <w:rPr>
          <w:rFonts w:ascii="Times New Roman" w:hAnsi="Times New Roman"/>
          <w:noProof/>
          <w:sz w:val="24"/>
          <w:szCs w:val="24"/>
          <w:lang w:val="en-IE"/>
        </w:rPr>
        <w:t>a</w:t>
      </w:r>
      <w:r w:rsidR="3C8D3277" w:rsidRPr="00BD00A9">
        <w:rPr>
          <w:rFonts w:ascii="Times New Roman" w:hAnsi="Times New Roman"/>
          <w:noProof/>
          <w:sz w:val="24"/>
          <w:szCs w:val="24"/>
          <w:lang w:val="en-IE"/>
        </w:rPr>
        <w:t xml:space="preserve"> new address. Other administrative steps, such as regist</w:t>
      </w:r>
      <w:r w:rsidR="00992742" w:rsidRPr="00BD00A9">
        <w:rPr>
          <w:rFonts w:ascii="Times New Roman" w:hAnsi="Times New Roman"/>
          <w:noProof/>
          <w:sz w:val="24"/>
          <w:szCs w:val="24"/>
          <w:lang w:val="en-IE"/>
        </w:rPr>
        <w:t>ering</w:t>
      </w:r>
      <w:r w:rsidR="3C8D3277" w:rsidRPr="00BD00A9">
        <w:rPr>
          <w:rFonts w:ascii="Times New Roman" w:hAnsi="Times New Roman"/>
          <w:noProof/>
          <w:sz w:val="24"/>
          <w:szCs w:val="24"/>
          <w:lang w:val="en-IE"/>
        </w:rPr>
        <w:t xml:space="preserve"> </w:t>
      </w:r>
      <w:r w:rsidR="00992742" w:rsidRPr="00BD00A9">
        <w:rPr>
          <w:rFonts w:ascii="Times New Roman" w:hAnsi="Times New Roman"/>
          <w:noProof/>
          <w:sz w:val="24"/>
          <w:szCs w:val="24"/>
          <w:lang w:val="en-IE"/>
        </w:rPr>
        <w:t>a</w:t>
      </w:r>
      <w:r w:rsidR="3C8D3277" w:rsidRPr="00BD00A9">
        <w:rPr>
          <w:rFonts w:ascii="Times New Roman" w:hAnsi="Times New Roman"/>
          <w:noProof/>
          <w:sz w:val="24"/>
          <w:szCs w:val="24"/>
          <w:lang w:val="en-IE"/>
        </w:rPr>
        <w:t xml:space="preserve"> car, </w:t>
      </w:r>
      <w:r w:rsidR="00C568A5" w:rsidRPr="00BD00A9">
        <w:rPr>
          <w:rFonts w:ascii="Times New Roman" w:hAnsi="Times New Roman"/>
          <w:noProof/>
          <w:sz w:val="24"/>
          <w:szCs w:val="24"/>
          <w:lang w:val="en-IE"/>
        </w:rPr>
        <w:t xml:space="preserve">could </w:t>
      </w:r>
      <w:r w:rsidR="3C8D3277" w:rsidRPr="00BD00A9">
        <w:rPr>
          <w:rFonts w:ascii="Times New Roman" w:hAnsi="Times New Roman"/>
          <w:noProof/>
          <w:sz w:val="24"/>
          <w:szCs w:val="24"/>
          <w:lang w:val="en-IE"/>
        </w:rPr>
        <w:t>also be supported by the E</w:t>
      </w:r>
      <w:r w:rsidR="00992742" w:rsidRPr="00BD00A9">
        <w:rPr>
          <w:rFonts w:ascii="Times New Roman" w:hAnsi="Times New Roman"/>
          <w:noProof/>
          <w:sz w:val="24"/>
          <w:szCs w:val="24"/>
          <w:lang w:val="en-IE"/>
        </w:rPr>
        <w:t>DIWs</w:t>
      </w:r>
      <w:r w:rsidR="3C8D3277" w:rsidRPr="00BD00A9">
        <w:rPr>
          <w:rFonts w:ascii="Times New Roman" w:hAnsi="Times New Roman"/>
          <w:noProof/>
          <w:sz w:val="24"/>
          <w:szCs w:val="24"/>
          <w:lang w:val="en-IE"/>
        </w:rPr>
        <w:t>.</w:t>
      </w:r>
      <w:r w:rsidR="00DB0862">
        <w:rPr>
          <w:rFonts w:ascii="Times New Roman" w:hAnsi="Times New Roman"/>
          <w:noProof/>
          <w:sz w:val="24"/>
          <w:szCs w:val="24"/>
          <w:lang w:val="en-IE"/>
        </w:rPr>
        <w:t xml:space="preserve"> The </w:t>
      </w:r>
      <w:r w:rsidR="00DB0862" w:rsidRPr="00BD00A9">
        <w:rPr>
          <w:rFonts w:ascii="Times New Roman" w:hAnsi="Times New Roman"/>
          <w:noProof/>
          <w:sz w:val="24"/>
          <w:szCs w:val="24"/>
          <w:lang w:val="en-IE"/>
        </w:rPr>
        <w:t>EDIWs</w:t>
      </w:r>
      <w:r w:rsidR="00DB0862">
        <w:rPr>
          <w:rFonts w:ascii="Times New Roman" w:hAnsi="Times New Roman"/>
          <w:noProof/>
          <w:sz w:val="24"/>
          <w:szCs w:val="24"/>
          <w:lang w:val="en-IE"/>
        </w:rPr>
        <w:t xml:space="preserve"> will provide more convenient, secure and privacy-enhancing alternatives to private identity solutions offered by the platforms.</w:t>
      </w:r>
    </w:p>
    <w:p w14:paraId="00F6CED0" w14:textId="2E6DA3D2" w:rsidR="00E575BE" w:rsidRPr="00BD00A9" w:rsidRDefault="00E575BE" w:rsidP="00E575BE">
      <w:pPr>
        <w:pStyle w:val="Heading3"/>
        <w:rPr>
          <w:noProof/>
        </w:rPr>
      </w:pPr>
      <w:bookmarkStart w:id="52" w:name="_Toc150854717"/>
      <w:bookmarkStart w:id="53" w:name="_Toc152502498"/>
      <w:r w:rsidRPr="00BD00A9">
        <w:rPr>
          <w:noProof/>
        </w:rPr>
        <w:t>Free movement during the COVID-19 pandemic</w:t>
      </w:r>
      <w:bookmarkEnd w:id="52"/>
      <w:bookmarkEnd w:id="53"/>
    </w:p>
    <w:p w14:paraId="1768ADFF" w14:textId="13A66775" w:rsidR="00E575BE" w:rsidRPr="00BD00A9" w:rsidRDefault="00E575BE" w:rsidP="00E575BE">
      <w:pPr>
        <w:spacing w:after="240" w:line="276" w:lineRule="auto"/>
        <w:jc w:val="both"/>
        <w:rPr>
          <w:rFonts w:ascii="Times New Roman" w:hAnsi="Times New Roman"/>
          <w:noProof/>
          <w:sz w:val="24"/>
          <w:szCs w:val="24"/>
          <w:lang w:val="en-IE"/>
        </w:rPr>
      </w:pPr>
      <w:r w:rsidRPr="00BD00A9">
        <w:rPr>
          <w:rFonts w:ascii="Times New Roman" w:hAnsi="Times New Roman"/>
          <w:noProof/>
          <w:sz w:val="24"/>
          <w:szCs w:val="24"/>
          <w:lang w:val="en-IE"/>
        </w:rPr>
        <w:t>The COVID-19 outbreak has presented a number of u</w:t>
      </w:r>
      <w:r w:rsidR="00F30D57" w:rsidRPr="00BD00A9">
        <w:rPr>
          <w:rFonts w:ascii="Times New Roman" w:hAnsi="Times New Roman"/>
          <w:noProof/>
          <w:sz w:val="24"/>
          <w:szCs w:val="24"/>
          <w:lang w:val="en-IE"/>
        </w:rPr>
        <w:t>nprecedented</w:t>
      </w:r>
      <w:r w:rsidRPr="00BD00A9">
        <w:rPr>
          <w:rFonts w:ascii="Times New Roman" w:hAnsi="Times New Roman"/>
          <w:noProof/>
          <w:sz w:val="24"/>
          <w:szCs w:val="24"/>
          <w:lang w:val="en-IE"/>
        </w:rPr>
        <w:t xml:space="preserve"> challenges to free movement across the EU. To limit the spread of COVID-19, EU Member States adopted various measures, some of which had an impact on citizens’ right to move freely across the E</w:t>
      </w:r>
      <w:r w:rsidR="00246EE6" w:rsidRPr="00BD00A9">
        <w:rPr>
          <w:rFonts w:ascii="Times New Roman" w:hAnsi="Times New Roman"/>
          <w:noProof/>
          <w:sz w:val="24"/>
          <w:szCs w:val="24"/>
          <w:lang w:val="en-IE"/>
        </w:rPr>
        <w:t>U</w:t>
      </w:r>
      <w:r w:rsidRPr="00BD00A9">
        <w:rPr>
          <w:rFonts w:ascii="Times New Roman" w:hAnsi="Times New Roman"/>
          <w:noProof/>
          <w:sz w:val="24"/>
          <w:szCs w:val="24"/>
          <w:lang w:val="en-IE"/>
        </w:rPr>
        <w:t xml:space="preserve">, such as requirements to undergo quarantine or a coronavirus test. </w:t>
      </w:r>
    </w:p>
    <w:p w14:paraId="58715B93" w14:textId="66969D83" w:rsidR="00CC7F51" w:rsidRPr="00BD00A9" w:rsidRDefault="00E575BE" w:rsidP="00E575BE">
      <w:pPr>
        <w:spacing w:after="240" w:line="276" w:lineRule="auto"/>
        <w:jc w:val="both"/>
        <w:rPr>
          <w:rFonts w:ascii="Times New Roman" w:hAnsi="Times New Roman"/>
          <w:noProof/>
          <w:sz w:val="24"/>
          <w:szCs w:val="24"/>
          <w:lang w:val="en-IE"/>
        </w:rPr>
      </w:pPr>
      <w:r w:rsidRPr="00BD00A9">
        <w:rPr>
          <w:rFonts w:ascii="Times New Roman" w:hAnsi="Times New Roman"/>
          <w:noProof/>
          <w:sz w:val="24"/>
          <w:szCs w:val="24"/>
          <w:lang w:val="en-IE"/>
        </w:rPr>
        <w:t xml:space="preserve">Any restrictions </w:t>
      </w:r>
      <w:r w:rsidR="005D7A35" w:rsidRPr="00BD00A9">
        <w:rPr>
          <w:rFonts w:ascii="Times New Roman" w:hAnsi="Times New Roman"/>
          <w:noProof/>
          <w:sz w:val="24"/>
          <w:szCs w:val="24"/>
          <w:lang w:val="en-IE"/>
        </w:rPr>
        <w:t>on</w:t>
      </w:r>
      <w:r w:rsidRPr="00BD00A9">
        <w:rPr>
          <w:rFonts w:ascii="Times New Roman" w:hAnsi="Times New Roman"/>
          <w:noProof/>
          <w:sz w:val="24"/>
          <w:szCs w:val="24"/>
          <w:lang w:val="en-IE"/>
        </w:rPr>
        <w:t xml:space="preserve"> free movement of persons within the EU to limit the spread of COVID-19 </w:t>
      </w:r>
      <w:r w:rsidR="005D7A35" w:rsidRPr="00BD00A9">
        <w:rPr>
          <w:rFonts w:ascii="Times New Roman" w:hAnsi="Times New Roman"/>
          <w:noProof/>
          <w:sz w:val="24"/>
          <w:szCs w:val="24"/>
          <w:lang w:val="en-IE"/>
        </w:rPr>
        <w:t>had to be</w:t>
      </w:r>
      <w:r w:rsidRPr="00BD00A9">
        <w:rPr>
          <w:rFonts w:ascii="Times New Roman" w:hAnsi="Times New Roman"/>
          <w:noProof/>
          <w:sz w:val="24"/>
          <w:szCs w:val="24"/>
          <w:lang w:val="en-IE"/>
        </w:rPr>
        <w:t xml:space="preserve"> based on specific and limited public interest grounds, namely the protection of public health. </w:t>
      </w:r>
      <w:r w:rsidR="005D7A35" w:rsidRPr="00BD00A9">
        <w:rPr>
          <w:rFonts w:ascii="Times New Roman" w:hAnsi="Times New Roman"/>
          <w:noProof/>
          <w:sz w:val="24"/>
          <w:szCs w:val="24"/>
          <w:lang w:val="en-IE"/>
        </w:rPr>
        <w:t xml:space="preserve">So, in response to the pandemic, </w:t>
      </w:r>
      <w:r w:rsidRPr="00BD00A9">
        <w:rPr>
          <w:rFonts w:ascii="Times New Roman" w:hAnsi="Times New Roman"/>
          <w:noProof/>
          <w:sz w:val="24"/>
          <w:szCs w:val="24"/>
          <w:lang w:val="en-IE"/>
        </w:rPr>
        <w:t>Member States could impose measures limiting the free movement of persons within the EU</w:t>
      </w:r>
      <w:r w:rsidR="005D7A35" w:rsidRPr="00BD00A9">
        <w:rPr>
          <w:rFonts w:ascii="Times New Roman" w:hAnsi="Times New Roman"/>
          <w:noProof/>
          <w:sz w:val="24"/>
          <w:szCs w:val="24"/>
          <w:lang w:val="en-IE"/>
        </w:rPr>
        <w:t xml:space="preserve"> but</w:t>
      </w:r>
      <w:r w:rsidRPr="00BD00A9">
        <w:rPr>
          <w:rFonts w:ascii="Times New Roman" w:hAnsi="Times New Roman"/>
          <w:noProof/>
          <w:sz w:val="24"/>
          <w:szCs w:val="24"/>
          <w:lang w:val="en-IE"/>
        </w:rPr>
        <w:t xml:space="preserve"> such measures </w:t>
      </w:r>
      <w:r w:rsidR="005D7A35" w:rsidRPr="00BD00A9">
        <w:rPr>
          <w:rFonts w:ascii="Times New Roman" w:hAnsi="Times New Roman"/>
          <w:noProof/>
          <w:sz w:val="24"/>
          <w:szCs w:val="24"/>
          <w:lang w:val="en-IE"/>
        </w:rPr>
        <w:t>could</w:t>
      </w:r>
      <w:r w:rsidRPr="00BD00A9">
        <w:rPr>
          <w:rFonts w:ascii="Times New Roman" w:hAnsi="Times New Roman"/>
          <w:noProof/>
          <w:sz w:val="24"/>
          <w:szCs w:val="24"/>
          <w:lang w:val="en-IE"/>
        </w:rPr>
        <w:t xml:space="preserve"> not go beyond what </w:t>
      </w:r>
      <w:r w:rsidR="005D7A35" w:rsidRPr="00BD00A9">
        <w:rPr>
          <w:rFonts w:ascii="Times New Roman" w:hAnsi="Times New Roman"/>
          <w:noProof/>
          <w:sz w:val="24"/>
          <w:szCs w:val="24"/>
          <w:lang w:val="en-IE"/>
        </w:rPr>
        <w:t>was</w:t>
      </w:r>
      <w:r w:rsidRPr="00BD00A9">
        <w:rPr>
          <w:rFonts w:ascii="Times New Roman" w:hAnsi="Times New Roman"/>
          <w:noProof/>
          <w:sz w:val="24"/>
          <w:szCs w:val="24"/>
          <w:lang w:val="en-IE"/>
        </w:rPr>
        <w:t xml:space="preserve"> strictly necessary</w:t>
      </w:r>
      <w:r w:rsidR="009044D8" w:rsidRPr="00BD00A9">
        <w:rPr>
          <w:rFonts w:ascii="Times New Roman" w:hAnsi="Times New Roman"/>
          <w:noProof/>
          <w:sz w:val="24"/>
          <w:szCs w:val="24"/>
          <w:lang w:val="en-IE"/>
        </w:rPr>
        <w:t xml:space="preserve"> and proportionate</w:t>
      </w:r>
      <w:r w:rsidRPr="00BD00A9">
        <w:rPr>
          <w:rFonts w:ascii="Times New Roman" w:hAnsi="Times New Roman"/>
          <w:noProof/>
          <w:sz w:val="24"/>
          <w:szCs w:val="24"/>
          <w:lang w:val="en-IE"/>
        </w:rPr>
        <w:t xml:space="preserve"> </w:t>
      </w:r>
      <w:r w:rsidR="005D7A35" w:rsidRPr="00BD00A9">
        <w:rPr>
          <w:rFonts w:ascii="Times New Roman" w:hAnsi="Times New Roman"/>
          <w:noProof/>
          <w:sz w:val="24"/>
          <w:szCs w:val="24"/>
          <w:lang w:val="en-IE"/>
        </w:rPr>
        <w:t xml:space="preserve">or distinguish </w:t>
      </w:r>
      <w:r w:rsidRPr="00BD00A9">
        <w:rPr>
          <w:rFonts w:ascii="Times New Roman" w:hAnsi="Times New Roman"/>
          <w:noProof/>
          <w:sz w:val="24"/>
          <w:szCs w:val="24"/>
          <w:lang w:val="en-IE"/>
        </w:rPr>
        <w:t>between travellers based on their nationality. The Commission has monitored Member States’ compliance with these principles.</w:t>
      </w:r>
    </w:p>
    <w:p w14:paraId="4B4E3D81" w14:textId="0BAD618F" w:rsidR="00E575BE" w:rsidRPr="00BD00A9" w:rsidRDefault="00E575BE" w:rsidP="00E575BE">
      <w:pPr>
        <w:spacing w:after="240" w:line="276" w:lineRule="auto"/>
        <w:jc w:val="both"/>
        <w:rPr>
          <w:rFonts w:ascii="Times New Roman" w:hAnsi="Times New Roman"/>
          <w:noProof/>
          <w:sz w:val="24"/>
          <w:szCs w:val="24"/>
        </w:rPr>
      </w:pPr>
      <w:r w:rsidRPr="00BD00A9">
        <w:rPr>
          <w:rFonts w:ascii="Times New Roman" w:hAnsi="Times New Roman"/>
          <w:noProof/>
          <w:sz w:val="24"/>
          <w:szCs w:val="24"/>
        </w:rPr>
        <w:t xml:space="preserve">In addition, the Commission has worked relentlessly to foster cooperation and coordination among Member States since the beginning of the pandemic. A well-coordinated, predictable and transparent approach to the adoption of restrictions on freedom of movement was established through several Council Recommendations. Indeed, the </w:t>
      </w:r>
      <w:r w:rsidR="005D7A35" w:rsidRPr="00BD00A9">
        <w:rPr>
          <w:rFonts w:ascii="Times New Roman" w:hAnsi="Times New Roman"/>
          <w:noProof/>
          <w:sz w:val="24"/>
          <w:szCs w:val="24"/>
        </w:rPr>
        <w:t>‘</w:t>
      </w:r>
      <w:r w:rsidRPr="00BD00A9">
        <w:rPr>
          <w:rFonts w:ascii="Times New Roman" w:hAnsi="Times New Roman"/>
          <w:noProof/>
          <w:sz w:val="24"/>
          <w:szCs w:val="24"/>
        </w:rPr>
        <w:t>Citizenship Report 2020</w:t>
      </w:r>
      <w:r w:rsidR="005D7A35" w:rsidRPr="00BD00A9">
        <w:rPr>
          <w:rFonts w:ascii="Times New Roman" w:hAnsi="Times New Roman"/>
          <w:noProof/>
          <w:sz w:val="24"/>
          <w:szCs w:val="24"/>
        </w:rPr>
        <w:t>’</w:t>
      </w:r>
      <w:r w:rsidRPr="00BD00A9">
        <w:rPr>
          <w:rFonts w:ascii="Times New Roman" w:hAnsi="Times New Roman"/>
          <w:noProof/>
          <w:sz w:val="24"/>
          <w:szCs w:val="24"/>
        </w:rPr>
        <w:t xml:space="preserve"> Communication already mentioned that the Commission had presented a proposal for a Council Recommendation on a </w:t>
      </w:r>
      <w:r w:rsidRPr="00BD00A9">
        <w:rPr>
          <w:rFonts w:ascii="Times New Roman" w:hAnsi="Times New Roman"/>
          <w:b/>
          <w:bCs/>
          <w:noProof/>
          <w:sz w:val="24"/>
          <w:szCs w:val="24"/>
        </w:rPr>
        <w:t>coordinated approach to the restriction of free movement</w:t>
      </w:r>
      <w:r w:rsidRPr="00BD00A9">
        <w:rPr>
          <w:rFonts w:ascii="Times New Roman" w:hAnsi="Times New Roman"/>
          <w:noProof/>
          <w:sz w:val="24"/>
          <w:szCs w:val="24"/>
        </w:rPr>
        <w:t xml:space="preserve"> in response to the COVID-19 pandemic</w:t>
      </w:r>
      <w:r w:rsidR="00AD3FCC" w:rsidRPr="00BD00A9">
        <w:rPr>
          <w:rFonts w:ascii="Times New Roman" w:hAnsi="Times New Roman"/>
          <w:noProof/>
          <w:sz w:val="24"/>
          <w:szCs w:val="24"/>
        </w:rPr>
        <w:t xml:space="preserve">, </w:t>
      </w:r>
      <w:r w:rsidRPr="00BD00A9">
        <w:rPr>
          <w:rFonts w:ascii="Times New Roman" w:hAnsi="Times New Roman"/>
          <w:noProof/>
          <w:sz w:val="24"/>
          <w:szCs w:val="24"/>
        </w:rPr>
        <w:t xml:space="preserve">which was adopted by the Council on 13 October 2020. Since then, and in response to the </w:t>
      </w:r>
      <w:r w:rsidR="00AD3FCC" w:rsidRPr="00BD00A9">
        <w:rPr>
          <w:rFonts w:ascii="Times New Roman" w:hAnsi="Times New Roman"/>
          <w:noProof/>
          <w:sz w:val="24"/>
          <w:szCs w:val="24"/>
        </w:rPr>
        <w:t xml:space="preserve">ways in which </w:t>
      </w:r>
      <w:r w:rsidRPr="00BD00A9">
        <w:rPr>
          <w:rFonts w:ascii="Times New Roman" w:hAnsi="Times New Roman"/>
          <w:noProof/>
          <w:sz w:val="24"/>
          <w:szCs w:val="24"/>
        </w:rPr>
        <w:t>the pandemic</w:t>
      </w:r>
      <w:r w:rsidR="00AD3FCC" w:rsidRPr="00BD00A9">
        <w:rPr>
          <w:rFonts w:ascii="Times New Roman" w:hAnsi="Times New Roman"/>
          <w:noProof/>
          <w:sz w:val="24"/>
          <w:szCs w:val="24"/>
        </w:rPr>
        <w:t xml:space="preserve"> developed</w:t>
      </w:r>
      <w:r w:rsidRPr="00BD00A9">
        <w:rPr>
          <w:rFonts w:ascii="Times New Roman" w:hAnsi="Times New Roman"/>
          <w:noProof/>
          <w:sz w:val="24"/>
          <w:szCs w:val="24"/>
        </w:rPr>
        <w:t xml:space="preserve">, this Recommendation was updated </w:t>
      </w:r>
      <w:r w:rsidR="00AD3FCC" w:rsidRPr="00BD00A9">
        <w:rPr>
          <w:rFonts w:ascii="Times New Roman" w:hAnsi="Times New Roman"/>
          <w:noProof/>
          <w:sz w:val="24"/>
          <w:szCs w:val="24"/>
        </w:rPr>
        <w:t>a number of</w:t>
      </w:r>
      <w:r w:rsidRPr="00BD00A9">
        <w:rPr>
          <w:rFonts w:ascii="Times New Roman" w:hAnsi="Times New Roman"/>
          <w:noProof/>
          <w:sz w:val="24"/>
          <w:szCs w:val="24"/>
        </w:rPr>
        <w:t xml:space="preserve"> times</w:t>
      </w:r>
      <w:r w:rsidRPr="00BD00A9">
        <w:rPr>
          <w:rStyle w:val="FootnoteReference"/>
          <w:rFonts w:ascii="Times New Roman" w:hAnsi="Times New Roman"/>
          <w:noProof/>
          <w:sz w:val="24"/>
          <w:szCs w:val="24"/>
        </w:rPr>
        <w:footnoteReference w:id="99"/>
      </w:r>
      <w:r w:rsidRPr="00BD00A9">
        <w:rPr>
          <w:rFonts w:ascii="Times New Roman" w:hAnsi="Times New Roman"/>
          <w:noProof/>
          <w:sz w:val="24"/>
          <w:szCs w:val="24"/>
        </w:rPr>
        <w:t>.</w:t>
      </w:r>
    </w:p>
    <w:p w14:paraId="139A5DE3" w14:textId="1584694B" w:rsidR="00E575BE" w:rsidRPr="00BD00A9" w:rsidRDefault="00E575BE" w:rsidP="00016549">
      <w:pPr>
        <w:spacing w:after="240" w:line="276" w:lineRule="auto"/>
        <w:jc w:val="both"/>
        <w:rPr>
          <w:rFonts w:ascii="Times New Roman" w:hAnsi="Times New Roman"/>
          <w:noProof/>
          <w:sz w:val="24"/>
          <w:szCs w:val="24"/>
          <w:lang w:val="en-IE"/>
        </w:rPr>
      </w:pPr>
      <w:r w:rsidRPr="00BD00A9">
        <w:rPr>
          <w:rFonts w:ascii="Times New Roman" w:hAnsi="Times New Roman"/>
          <w:noProof/>
          <w:sz w:val="24"/>
          <w:szCs w:val="24"/>
        </w:rPr>
        <w:t>T</w:t>
      </w:r>
      <w:r w:rsidR="00F30D57" w:rsidRPr="00BD00A9">
        <w:rPr>
          <w:rFonts w:ascii="Times New Roman" w:hAnsi="Times New Roman"/>
          <w:noProof/>
          <w:sz w:val="24"/>
          <w:szCs w:val="24"/>
        </w:rPr>
        <w:t>o facilitate the right to free movement, t</w:t>
      </w:r>
      <w:r w:rsidRPr="00BD00A9">
        <w:rPr>
          <w:rFonts w:ascii="Times New Roman" w:hAnsi="Times New Roman"/>
          <w:noProof/>
          <w:sz w:val="24"/>
          <w:szCs w:val="24"/>
          <w:lang w:val="en-IE"/>
        </w:rPr>
        <w:t xml:space="preserve">he Commission also </w:t>
      </w:r>
      <w:r w:rsidR="00F30D57" w:rsidRPr="00BD00A9">
        <w:rPr>
          <w:rFonts w:ascii="Times New Roman" w:hAnsi="Times New Roman"/>
          <w:noProof/>
          <w:sz w:val="24"/>
          <w:szCs w:val="24"/>
          <w:lang w:val="en-IE"/>
        </w:rPr>
        <w:t>presented the proposal for</w:t>
      </w:r>
      <w:r w:rsidRPr="00BD00A9">
        <w:rPr>
          <w:rFonts w:ascii="Times New Roman" w:hAnsi="Times New Roman"/>
          <w:noProof/>
          <w:sz w:val="24"/>
          <w:szCs w:val="24"/>
          <w:lang w:val="en-IE"/>
        </w:rPr>
        <w:t xml:space="preserve"> the </w:t>
      </w:r>
      <w:r w:rsidRPr="00BD00A9">
        <w:rPr>
          <w:rFonts w:ascii="Times New Roman" w:hAnsi="Times New Roman"/>
          <w:b/>
          <w:bCs/>
          <w:noProof/>
          <w:sz w:val="24"/>
          <w:szCs w:val="24"/>
          <w:lang w:val="en-IE"/>
        </w:rPr>
        <w:t>EU Digital COVID Certificate</w:t>
      </w:r>
      <w:r w:rsidRPr="00BD00A9">
        <w:rPr>
          <w:rFonts w:ascii="Times New Roman" w:hAnsi="Times New Roman"/>
          <w:noProof/>
          <w:sz w:val="24"/>
          <w:szCs w:val="24"/>
          <w:lang w:val="en-IE"/>
        </w:rPr>
        <w:t>, adopted by the European Parliament and the Council in June 2021</w:t>
      </w:r>
      <w:r w:rsidRPr="00BD00A9">
        <w:rPr>
          <w:rFonts w:ascii="Times New Roman" w:hAnsi="Times New Roman"/>
          <w:noProof/>
          <w:sz w:val="24"/>
          <w:szCs w:val="24"/>
          <w:vertAlign w:val="superscript"/>
          <w:lang w:val="en-IE"/>
        </w:rPr>
        <w:footnoteReference w:id="100"/>
      </w:r>
      <w:r w:rsidRPr="00BD00A9">
        <w:rPr>
          <w:rFonts w:ascii="Times New Roman" w:hAnsi="Times New Roman"/>
          <w:noProof/>
          <w:sz w:val="24"/>
          <w:szCs w:val="24"/>
          <w:lang w:val="en-IE"/>
        </w:rPr>
        <w:t>, which has been a crucial element in Europe’s response to the COVID-19 pandemic. Its rapid adoption and rollout enabled European citizens to move freely</w:t>
      </w:r>
      <w:r w:rsidR="00AC6769">
        <w:rPr>
          <w:rFonts w:ascii="Times New Roman" w:hAnsi="Times New Roman"/>
          <w:noProof/>
          <w:sz w:val="24"/>
          <w:szCs w:val="24"/>
          <w:lang w:val="en-IE"/>
        </w:rPr>
        <w:t>,</w:t>
      </w:r>
      <w:r w:rsidRPr="00BD00A9">
        <w:rPr>
          <w:rFonts w:ascii="Times New Roman" w:hAnsi="Times New Roman"/>
          <w:noProof/>
          <w:sz w:val="24"/>
          <w:szCs w:val="24"/>
          <w:lang w:val="en-IE"/>
        </w:rPr>
        <w:t xml:space="preserve"> and </w:t>
      </w:r>
      <w:r w:rsidR="00AC6769">
        <w:rPr>
          <w:rFonts w:ascii="Times New Roman" w:hAnsi="Times New Roman"/>
          <w:noProof/>
          <w:sz w:val="24"/>
          <w:szCs w:val="24"/>
          <w:lang w:val="en-IE"/>
        </w:rPr>
        <w:t xml:space="preserve">to open </w:t>
      </w:r>
      <w:r w:rsidRPr="00BD00A9">
        <w:rPr>
          <w:rFonts w:ascii="Times New Roman" w:hAnsi="Times New Roman"/>
          <w:noProof/>
          <w:sz w:val="24"/>
          <w:szCs w:val="24"/>
          <w:lang w:val="en-IE"/>
        </w:rPr>
        <w:t xml:space="preserve">the European travel sector in time for summer 2021. The tool </w:t>
      </w:r>
      <w:r w:rsidR="00016549" w:rsidRPr="00BD00A9">
        <w:rPr>
          <w:rFonts w:ascii="Times New Roman" w:hAnsi="Times New Roman"/>
          <w:noProof/>
          <w:sz w:val="24"/>
          <w:szCs w:val="24"/>
          <w:lang w:val="en-IE"/>
        </w:rPr>
        <w:t>provided a reliable and trustworthy system</w:t>
      </w:r>
      <w:r w:rsidRPr="00BD00A9">
        <w:rPr>
          <w:rFonts w:ascii="Times New Roman" w:hAnsi="Times New Roman"/>
          <w:noProof/>
          <w:sz w:val="24"/>
          <w:szCs w:val="24"/>
          <w:lang w:val="en-IE"/>
        </w:rPr>
        <w:t xml:space="preserve"> to demonstrate proof of COVID-19 vaccination, recovery, or test status</w:t>
      </w:r>
      <w:r w:rsidR="00AD3FCC" w:rsidRPr="00BD00A9">
        <w:rPr>
          <w:rFonts w:ascii="Times New Roman" w:hAnsi="Times New Roman"/>
          <w:noProof/>
          <w:sz w:val="24"/>
          <w:szCs w:val="24"/>
          <w:lang w:val="en-IE"/>
        </w:rPr>
        <w:t>. It also</w:t>
      </w:r>
      <w:r w:rsidRPr="00BD00A9">
        <w:rPr>
          <w:rFonts w:ascii="Times New Roman" w:hAnsi="Times New Roman"/>
          <w:noProof/>
          <w:sz w:val="24"/>
          <w:szCs w:val="24"/>
          <w:lang w:val="en-IE"/>
        </w:rPr>
        <w:t xml:space="preserve"> avoid</w:t>
      </w:r>
      <w:r w:rsidR="00AD3FCC" w:rsidRPr="00BD00A9">
        <w:rPr>
          <w:rFonts w:ascii="Times New Roman" w:hAnsi="Times New Roman"/>
          <w:noProof/>
          <w:sz w:val="24"/>
          <w:szCs w:val="24"/>
          <w:lang w:val="en-IE"/>
        </w:rPr>
        <w:t>ed</w:t>
      </w:r>
      <w:r w:rsidRPr="00BD00A9">
        <w:rPr>
          <w:rFonts w:ascii="Times New Roman" w:hAnsi="Times New Roman"/>
          <w:noProof/>
          <w:sz w:val="24"/>
          <w:szCs w:val="24"/>
          <w:lang w:val="en-IE"/>
        </w:rPr>
        <w:t xml:space="preserve"> a fragmented and likely incompatible system of national certificates. </w:t>
      </w:r>
      <w:r w:rsidR="00F30D57" w:rsidRPr="00BD00A9">
        <w:rPr>
          <w:rFonts w:ascii="Times New Roman" w:hAnsi="Times New Roman"/>
          <w:noProof/>
          <w:sz w:val="24"/>
          <w:szCs w:val="24"/>
          <w:lang w:val="en-GB"/>
        </w:rPr>
        <w:t>W</w:t>
      </w:r>
      <w:r w:rsidRPr="00BD00A9">
        <w:rPr>
          <w:rFonts w:ascii="Times New Roman" w:hAnsi="Times New Roman"/>
          <w:noProof/>
          <w:sz w:val="24"/>
          <w:szCs w:val="24"/>
          <w:lang w:val="en-IE"/>
        </w:rPr>
        <w:t>hen a Member State waived pandemic-related travel restrictions for pe</w:t>
      </w:r>
      <w:r w:rsidR="00AD3FCC" w:rsidRPr="00BD00A9">
        <w:rPr>
          <w:rFonts w:ascii="Times New Roman" w:hAnsi="Times New Roman"/>
          <w:noProof/>
          <w:sz w:val="24"/>
          <w:szCs w:val="24"/>
          <w:lang w:val="en-IE"/>
        </w:rPr>
        <w:t>ople</w:t>
      </w:r>
      <w:r w:rsidRPr="00BD00A9">
        <w:rPr>
          <w:rFonts w:ascii="Times New Roman" w:hAnsi="Times New Roman"/>
          <w:noProof/>
          <w:sz w:val="24"/>
          <w:szCs w:val="24"/>
          <w:lang w:val="en-IE"/>
        </w:rPr>
        <w:t xml:space="preserve"> with proof of vaccination, test, or recovery, the EU Digital COVID Certificate</w:t>
      </w:r>
      <w:r w:rsidR="002546CC" w:rsidRPr="00BD00A9">
        <w:rPr>
          <w:rFonts w:ascii="Times New Roman" w:hAnsi="Times New Roman"/>
          <w:noProof/>
          <w:sz w:val="24"/>
          <w:szCs w:val="24"/>
          <w:lang w:val="en-IE"/>
        </w:rPr>
        <w:t>s</w:t>
      </w:r>
      <w:r w:rsidRPr="00BD00A9">
        <w:rPr>
          <w:rFonts w:ascii="Times New Roman" w:hAnsi="Times New Roman"/>
          <w:noProof/>
          <w:sz w:val="24"/>
          <w:szCs w:val="24"/>
          <w:lang w:val="en-IE"/>
        </w:rPr>
        <w:t xml:space="preserve"> guaranteed that all EU citizens </w:t>
      </w:r>
      <w:r w:rsidR="002546CC" w:rsidRPr="00BD00A9">
        <w:rPr>
          <w:rFonts w:ascii="Times New Roman" w:hAnsi="Times New Roman"/>
          <w:noProof/>
          <w:sz w:val="24"/>
          <w:szCs w:val="24"/>
          <w:lang w:val="en-IE"/>
        </w:rPr>
        <w:t xml:space="preserve">holding them </w:t>
      </w:r>
      <w:r w:rsidRPr="00BD00A9">
        <w:rPr>
          <w:rFonts w:ascii="Times New Roman" w:hAnsi="Times New Roman"/>
          <w:noProof/>
          <w:sz w:val="24"/>
          <w:szCs w:val="24"/>
          <w:lang w:val="en-IE"/>
        </w:rPr>
        <w:t>could benefit from th</w:t>
      </w:r>
      <w:r w:rsidR="00AD3FCC" w:rsidRPr="00BD00A9">
        <w:rPr>
          <w:rFonts w:ascii="Times New Roman" w:hAnsi="Times New Roman"/>
          <w:noProof/>
          <w:sz w:val="24"/>
          <w:szCs w:val="24"/>
          <w:lang w:val="en-IE"/>
        </w:rPr>
        <w:t>ose</w:t>
      </w:r>
      <w:r w:rsidRPr="00BD00A9">
        <w:rPr>
          <w:rFonts w:ascii="Times New Roman" w:hAnsi="Times New Roman"/>
          <w:noProof/>
          <w:sz w:val="24"/>
          <w:szCs w:val="24"/>
          <w:lang w:val="en-IE"/>
        </w:rPr>
        <w:t xml:space="preserve"> exemptions. </w:t>
      </w:r>
      <w:r w:rsidR="0034128D" w:rsidRPr="00BD00A9">
        <w:rPr>
          <w:rFonts w:ascii="Times New Roman" w:hAnsi="Times New Roman"/>
          <w:noProof/>
          <w:sz w:val="24"/>
          <w:szCs w:val="24"/>
          <w:lang w:val="en-IE"/>
        </w:rPr>
        <w:t>On 29 June 2022, the European Parliament and the Council extended the EU Digital COVID Certificate Regulation until 30 June 2023</w:t>
      </w:r>
      <w:r w:rsidR="0034128D" w:rsidRPr="00BD00A9">
        <w:rPr>
          <w:rStyle w:val="FootnoteReference"/>
          <w:rFonts w:ascii="Times New Roman" w:hAnsi="Times New Roman"/>
          <w:noProof/>
          <w:sz w:val="24"/>
          <w:szCs w:val="24"/>
          <w:lang w:val="en-IE"/>
        </w:rPr>
        <w:footnoteReference w:id="101"/>
      </w:r>
      <w:r w:rsidR="0034128D" w:rsidRPr="00BD00A9">
        <w:rPr>
          <w:rFonts w:ascii="Times New Roman" w:hAnsi="Times New Roman"/>
          <w:noProof/>
          <w:sz w:val="24"/>
          <w:szCs w:val="24"/>
          <w:lang w:val="en-IE"/>
        </w:rPr>
        <w:t xml:space="preserve">. That extension ensured that travellers could continue </w:t>
      </w:r>
      <w:r w:rsidR="00AD3FCC" w:rsidRPr="00BD00A9">
        <w:rPr>
          <w:rFonts w:ascii="Times New Roman" w:hAnsi="Times New Roman"/>
          <w:noProof/>
          <w:sz w:val="24"/>
          <w:szCs w:val="24"/>
          <w:lang w:val="en-IE"/>
        </w:rPr>
        <w:t xml:space="preserve">to </w:t>
      </w:r>
      <w:r w:rsidR="0034128D" w:rsidRPr="00BD00A9">
        <w:rPr>
          <w:rFonts w:ascii="Times New Roman" w:hAnsi="Times New Roman"/>
          <w:noProof/>
          <w:sz w:val="24"/>
          <w:szCs w:val="24"/>
          <w:lang w:val="en-IE"/>
        </w:rPr>
        <w:t>us</w:t>
      </w:r>
      <w:r w:rsidR="00AD3FCC" w:rsidRPr="00BD00A9">
        <w:rPr>
          <w:rFonts w:ascii="Times New Roman" w:hAnsi="Times New Roman"/>
          <w:noProof/>
          <w:sz w:val="24"/>
          <w:szCs w:val="24"/>
          <w:lang w:val="en-IE"/>
        </w:rPr>
        <w:t>e</w:t>
      </w:r>
      <w:r w:rsidR="0034128D" w:rsidRPr="00BD00A9">
        <w:rPr>
          <w:rFonts w:ascii="Times New Roman" w:hAnsi="Times New Roman"/>
          <w:noProof/>
          <w:sz w:val="24"/>
          <w:szCs w:val="24"/>
          <w:lang w:val="en-IE"/>
        </w:rPr>
        <w:t xml:space="preserve"> their certificate should a significant worsening of the epidemiological situation have made it necessary for Member States to temporarily reintroduce travel restrictions.</w:t>
      </w:r>
    </w:p>
    <w:p w14:paraId="77A46156" w14:textId="7E65ECD8" w:rsidR="00132DCF" w:rsidRPr="00BD00A9" w:rsidRDefault="00E575BE" w:rsidP="00016549">
      <w:pPr>
        <w:spacing w:line="276" w:lineRule="auto"/>
        <w:jc w:val="both"/>
        <w:rPr>
          <w:rFonts w:ascii="Times New Roman" w:hAnsi="Times New Roman"/>
          <w:noProof/>
          <w:sz w:val="24"/>
          <w:szCs w:val="24"/>
          <w:lang w:val="en-IE"/>
        </w:rPr>
      </w:pPr>
      <w:r w:rsidRPr="00BD00A9">
        <w:rPr>
          <w:rFonts w:ascii="Times New Roman" w:hAnsi="Times New Roman"/>
          <w:noProof/>
          <w:sz w:val="24"/>
          <w:szCs w:val="24"/>
          <w:lang w:val="en-IE"/>
        </w:rPr>
        <w:t xml:space="preserve">The EU Digital COVID Certificate also rapidly became a standard in Europe and beyond, with 51 </w:t>
      </w:r>
      <w:r w:rsidR="00AD3FCC" w:rsidRPr="00BD00A9">
        <w:rPr>
          <w:rFonts w:ascii="Times New Roman" w:hAnsi="Times New Roman"/>
          <w:noProof/>
          <w:sz w:val="24"/>
          <w:szCs w:val="24"/>
          <w:lang w:val="en-IE"/>
        </w:rPr>
        <w:t>non-EU</w:t>
      </w:r>
      <w:r w:rsidRPr="00BD00A9">
        <w:rPr>
          <w:rFonts w:ascii="Times New Roman" w:hAnsi="Times New Roman"/>
          <w:noProof/>
          <w:sz w:val="24"/>
          <w:szCs w:val="24"/>
          <w:lang w:val="en-IE"/>
        </w:rPr>
        <w:t xml:space="preserve"> countries and territories connected to the system in addition to the 27 Member States. With more than two billion certificates issued, the EU Digital COVID Certificate has demonstrated the capacity of EU institutions to develop and adapt innovative </w:t>
      </w:r>
      <w:r w:rsidR="00016549" w:rsidRPr="00BD00A9">
        <w:rPr>
          <w:rFonts w:ascii="Times New Roman" w:hAnsi="Times New Roman"/>
          <w:noProof/>
          <w:sz w:val="24"/>
          <w:szCs w:val="24"/>
          <w:lang w:val="en-IE"/>
        </w:rPr>
        <w:t xml:space="preserve">and functional </w:t>
      </w:r>
      <w:r w:rsidRPr="00BD00A9">
        <w:rPr>
          <w:rFonts w:ascii="Times New Roman" w:hAnsi="Times New Roman"/>
          <w:noProof/>
          <w:sz w:val="24"/>
          <w:szCs w:val="24"/>
          <w:lang w:val="en-IE"/>
        </w:rPr>
        <w:t>solutions in record time.</w:t>
      </w:r>
      <w:r w:rsidR="00B754FB" w:rsidRPr="00BD00A9">
        <w:rPr>
          <w:rFonts w:ascii="Times New Roman" w:hAnsi="Times New Roman"/>
          <w:noProof/>
          <w:sz w:val="24"/>
          <w:szCs w:val="24"/>
          <w:lang w:val="en-IE"/>
        </w:rPr>
        <w:t xml:space="preserve"> This was also recogni</w:t>
      </w:r>
      <w:r w:rsidR="00AD3FCC" w:rsidRPr="00BD00A9">
        <w:rPr>
          <w:rFonts w:ascii="Times New Roman" w:hAnsi="Times New Roman"/>
          <w:noProof/>
          <w:sz w:val="24"/>
          <w:szCs w:val="24"/>
          <w:lang w:val="en-IE"/>
        </w:rPr>
        <w:t>s</w:t>
      </w:r>
      <w:r w:rsidR="00B754FB" w:rsidRPr="00BD00A9">
        <w:rPr>
          <w:rFonts w:ascii="Times New Roman" w:hAnsi="Times New Roman"/>
          <w:noProof/>
          <w:sz w:val="24"/>
          <w:szCs w:val="24"/>
          <w:lang w:val="en-IE"/>
        </w:rPr>
        <w:t>ed by the European Ombudsman, w</w:t>
      </w:r>
      <w:r w:rsidR="00132DCF" w:rsidRPr="00BD00A9">
        <w:rPr>
          <w:rFonts w:ascii="Times New Roman" w:hAnsi="Times New Roman"/>
          <w:noProof/>
          <w:sz w:val="24"/>
          <w:szCs w:val="24"/>
          <w:lang w:val="en-IE"/>
        </w:rPr>
        <w:t xml:space="preserve">ith </w:t>
      </w:r>
      <w:r w:rsidR="00B754FB" w:rsidRPr="00BD00A9">
        <w:rPr>
          <w:rFonts w:ascii="Times New Roman" w:hAnsi="Times New Roman"/>
          <w:noProof/>
          <w:sz w:val="24"/>
          <w:szCs w:val="24"/>
          <w:lang w:val="en-IE"/>
        </w:rPr>
        <w:t xml:space="preserve">the EU Digital COVID Certificate </w:t>
      </w:r>
      <w:r w:rsidR="00132DCF" w:rsidRPr="00BD00A9">
        <w:rPr>
          <w:rFonts w:ascii="Times New Roman" w:hAnsi="Times New Roman"/>
          <w:noProof/>
          <w:sz w:val="24"/>
          <w:szCs w:val="24"/>
          <w:lang w:val="en-IE"/>
        </w:rPr>
        <w:t xml:space="preserve">winning </w:t>
      </w:r>
      <w:r w:rsidR="00B754FB" w:rsidRPr="00BD00A9">
        <w:rPr>
          <w:rFonts w:ascii="Times New Roman" w:hAnsi="Times New Roman"/>
          <w:noProof/>
          <w:sz w:val="24"/>
          <w:szCs w:val="24"/>
          <w:lang w:val="en-IE"/>
        </w:rPr>
        <w:t>an Ombudsman Award for Good Administration in the innovation</w:t>
      </w:r>
      <w:r w:rsidR="00AD3FCC" w:rsidRPr="00BD00A9">
        <w:rPr>
          <w:rFonts w:ascii="Times New Roman" w:hAnsi="Times New Roman"/>
          <w:noProof/>
          <w:sz w:val="24"/>
          <w:szCs w:val="24"/>
          <w:lang w:val="en-IE"/>
        </w:rPr>
        <w:t xml:space="preserve"> category</w:t>
      </w:r>
      <w:r w:rsidR="00132DCF" w:rsidRPr="00BD00A9">
        <w:rPr>
          <w:rStyle w:val="FootnoteReference"/>
          <w:rFonts w:ascii="Times New Roman" w:hAnsi="Times New Roman"/>
          <w:noProof/>
          <w:sz w:val="24"/>
          <w:szCs w:val="24"/>
          <w:lang w:val="en-IE"/>
        </w:rPr>
        <w:footnoteReference w:id="102"/>
      </w:r>
      <w:r w:rsidR="00B754FB" w:rsidRPr="00BD00A9">
        <w:rPr>
          <w:rFonts w:ascii="Times New Roman" w:hAnsi="Times New Roman"/>
          <w:noProof/>
          <w:sz w:val="24"/>
          <w:szCs w:val="24"/>
          <w:lang w:val="en-IE"/>
        </w:rPr>
        <w:t xml:space="preserve">. </w:t>
      </w:r>
    </w:p>
    <w:p w14:paraId="1EF4F458" w14:textId="48F77D4C" w:rsidR="005F400D" w:rsidRPr="00BD00A9" w:rsidRDefault="005F400D" w:rsidP="005F400D">
      <w:pPr>
        <w:spacing w:after="240" w:line="276" w:lineRule="auto"/>
        <w:jc w:val="both"/>
        <w:rPr>
          <w:rFonts w:ascii="Times New Roman" w:hAnsi="Times New Roman"/>
          <w:noProof/>
          <w:sz w:val="24"/>
          <w:szCs w:val="24"/>
          <w:lang w:val="en-IE"/>
        </w:rPr>
      </w:pPr>
      <w:r w:rsidRPr="00BD00A9">
        <w:rPr>
          <w:rFonts w:ascii="Times New Roman" w:eastAsiaTheme="minorEastAsia" w:hAnsi="Times New Roman"/>
          <w:noProof/>
          <w:sz w:val="24"/>
          <w:szCs w:val="24"/>
          <w:lang w:val="en-IE" w:eastAsia="zh-CN"/>
        </w:rPr>
        <w:t xml:space="preserve">The Commission has continuously sought to provide </w:t>
      </w:r>
      <w:r w:rsidR="00AD3FCC" w:rsidRPr="00BD00A9">
        <w:rPr>
          <w:rFonts w:ascii="Times New Roman" w:eastAsiaTheme="minorEastAsia" w:hAnsi="Times New Roman"/>
          <w:noProof/>
          <w:sz w:val="24"/>
          <w:szCs w:val="24"/>
          <w:lang w:val="en-IE" w:eastAsia="zh-CN"/>
        </w:rPr>
        <w:t>people</w:t>
      </w:r>
      <w:r w:rsidRPr="00BD00A9">
        <w:rPr>
          <w:rFonts w:ascii="Times New Roman" w:eastAsiaTheme="minorEastAsia" w:hAnsi="Times New Roman"/>
          <w:noProof/>
          <w:sz w:val="24"/>
          <w:szCs w:val="24"/>
          <w:lang w:val="en-IE" w:eastAsia="zh-CN"/>
        </w:rPr>
        <w:t xml:space="preserve"> with accurate and user-friendly information on the EU Digital COVID Certificate and travel restrictions, for example by setting up the </w:t>
      </w:r>
      <w:r w:rsidRPr="00BD00A9">
        <w:rPr>
          <w:rFonts w:ascii="Times New Roman" w:eastAsiaTheme="minorEastAsia" w:hAnsi="Times New Roman"/>
          <w:b/>
          <w:bCs/>
          <w:noProof/>
          <w:sz w:val="24"/>
          <w:szCs w:val="24"/>
          <w:lang w:val="en-IE" w:eastAsia="zh-CN"/>
        </w:rPr>
        <w:t>Re-open EU</w:t>
      </w:r>
      <w:r w:rsidRPr="00BD00A9">
        <w:rPr>
          <w:rFonts w:ascii="Times New Roman" w:eastAsiaTheme="minorEastAsia" w:hAnsi="Times New Roman"/>
          <w:noProof/>
          <w:sz w:val="24"/>
          <w:szCs w:val="24"/>
          <w:lang w:val="en-IE" w:eastAsia="zh-CN"/>
        </w:rPr>
        <w:t xml:space="preserve"> platform and by publishing answers to the most frequently asked questions on these topics. The Re-open EU platform </w:t>
      </w:r>
      <w:r w:rsidR="00AD3FCC" w:rsidRPr="00BD00A9">
        <w:rPr>
          <w:rFonts w:ascii="Times New Roman" w:eastAsiaTheme="minorEastAsia" w:hAnsi="Times New Roman"/>
          <w:noProof/>
          <w:sz w:val="24"/>
          <w:szCs w:val="24"/>
          <w:lang w:val="en-IE" w:eastAsia="zh-CN"/>
        </w:rPr>
        <w:t>received</w:t>
      </w:r>
      <w:r w:rsidRPr="00BD00A9">
        <w:rPr>
          <w:rFonts w:ascii="Times New Roman" w:eastAsiaTheme="minorEastAsia" w:hAnsi="Times New Roman"/>
          <w:noProof/>
          <w:sz w:val="24"/>
          <w:szCs w:val="24"/>
          <w:lang w:val="en-IE" w:eastAsia="zh-CN"/>
        </w:rPr>
        <w:t xml:space="preserve"> around 44.7 million visits between June 2020 and October 2022 and the frequently asked questions page received 1.5 million unique views.</w:t>
      </w:r>
    </w:p>
    <w:p w14:paraId="29BEFD3F" w14:textId="598EB6DB" w:rsidR="00E575BE" w:rsidRPr="00BD00A9" w:rsidRDefault="00E575BE" w:rsidP="00E575BE">
      <w:pPr>
        <w:spacing w:after="240" w:line="276" w:lineRule="auto"/>
        <w:jc w:val="both"/>
        <w:rPr>
          <w:rFonts w:ascii="Times New Roman" w:hAnsi="Times New Roman"/>
          <w:noProof/>
          <w:sz w:val="24"/>
          <w:szCs w:val="24"/>
        </w:rPr>
      </w:pPr>
      <w:r w:rsidRPr="00BD00A9">
        <w:rPr>
          <w:rFonts w:ascii="Times New Roman" w:hAnsi="Times New Roman"/>
          <w:noProof/>
          <w:sz w:val="24"/>
          <w:szCs w:val="24"/>
        </w:rPr>
        <w:t xml:space="preserve">Once the epidemiological situation improved, the Commission focused its efforts on ensuring </w:t>
      </w:r>
      <w:r w:rsidR="00AD3FCC" w:rsidRPr="00BD00A9">
        <w:rPr>
          <w:rFonts w:ascii="Times New Roman" w:hAnsi="Times New Roman"/>
          <w:noProof/>
          <w:sz w:val="24"/>
          <w:szCs w:val="24"/>
        </w:rPr>
        <w:t>the</w:t>
      </w:r>
      <w:r w:rsidRPr="00BD00A9">
        <w:rPr>
          <w:rFonts w:ascii="Times New Roman" w:hAnsi="Times New Roman"/>
          <w:noProof/>
          <w:sz w:val="24"/>
          <w:szCs w:val="24"/>
        </w:rPr>
        <w:t xml:space="preserve"> lifting of restrictions</w:t>
      </w:r>
      <w:r w:rsidR="00AD3FCC" w:rsidRPr="00BD00A9">
        <w:rPr>
          <w:rFonts w:ascii="Times New Roman" w:hAnsi="Times New Roman"/>
          <w:noProof/>
          <w:sz w:val="24"/>
          <w:szCs w:val="24"/>
        </w:rPr>
        <w:t xml:space="preserve"> in a well-coordinated manner</w:t>
      </w:r>
      <w:r w:rsidRPr="00BD00A9">
        <w:rPr>
          <w:rFonts w:ascii="Times New Roman" w:hAnsi="Times New Roman"/>
          <w:noProof/>
          <w:sz w:val="24"/>
          <w:szCs w:val="24"/>
        </w:rPr>
        <w:t>. Since August 2022, Member States have lifted all intra-EU travel restrictions, including the requirement to present an EU Digital COVID Certificate</w:t>
      </w:r>
      <w:r w:rsidR="00F30D57" w:rsidRPr="00BD00A9">
        <w:rPr>
          <w:rStyle w:val="FootnoteReference"/>
          <w:rFonts w:ascii="Times New Roman" w:hAnsi="Times New Roman"/>
          <w:noProof/>
          <w:sz w:val="24"/>
          <w:szCs w:val="24"/>
        </w:rPr>
        <w:footnoteReference w:id="103"/>
      </w:r>
      <w:r w:rsidRPr="00BD00A9">
        <w:rPr>
          <w:rFonts w:ascii="Times New Roman" w:hAnsi="Times New Roman"/>
          <w:noProof/>
          <w:sz w:val="24"/>
          <w:szCs w:val="24"/>
        </w:rPr>
        <w:t xml:space="preserve">. </w:t>
      </w:r>
    </w:p>
    <w:p w14:paraId="4C4E947E" w14:textId="12B70BEA" w:rsidR="00E575BE" w:rsidRPr="00BD00A9" w:rsidRDefault="00AD3FCC" w:rsidP="00E575BE">
      <w:pPr>
        <w:spacing w:after="240" w:line="276" w:lineRule="auto"/>
        <w:jc w:val="both"/>
        <w:rPr>
          <w:rFonts w:ascii="Times New Roman" w:hAnsi="Times New Roman"/>
          <w:noProof/>
          <w:sz w:val="24"/>
          <w:szCs w:val="24"/>
          <w:lang w:val="en-IE"/>
        </w:rPr>
      </w:pPr>
      <w:r w:rsidRPr="00BD00A9">
        <w:rPr>
          <w:rFonts w:ascii="Times New Roman" w:hAnsi="Times New Roman"/>
          <w:noProof/>
          <w:sz w:val="24"/>
          <w:szCs w:val="24"/>
          <w:lang w:val="en-IE"/>
        </w:rPr>
        <w:t>After</w:t>
      </w:r>
      <w:r w:rsidR="00E575BE" w:rsidRPr="00BD00A9">
        <w:rPr>
          <w:rFonts w:ascii="Times New Roman" w:hAnsi="Times New Roman"/>
          <w:noProof/>
          <w:sz w:val="24"/>
          <w:szCs w:val="24"/>
          <w:lang w:val="en-IE"/>
        </w:rPr>
        <w:t xml:space="preserve"> all Member States ha</w:t>
      </w:r>
      <w:r w:rsidRPr="00BD00A9">
        <w:rPr>
          <w:rFonts w:ascii="Times New Roman" w:hAnsi="Times New Roman"/>
          <w:noProof/>
          <w:sz w:val="24"/>
          <w:szCs w:val="24"/>
          <w:lang w:val="en-IE"/>
        </w:rPr>
        <w:t>d</w:t>
      </w:r>
      <w:r w:rsidR="00E575BE" w:rsidRPr="00BD00A9">
        <w:rPr>
          <w:rFonts w:ascii="Times New Roman" w:hAnsi="Times New Roman"/>
          <w:noProof/>
          <w:sz w:val="24"/>
          <w:szCs w:val="24"/>
          <w:lang w:val="en-IE"/>
        </w:rPr>
        <w:t xml:space="preserve"> lifted intra-EU travel restrictions</w:t>
      </w:r>
      <w:r w:rsidRPr="00BD00A9">
        <w:rPr>
          <w:rFonts w:ascii="Times New Roman" w:hAnsi="Times New Roman"/>
          <w:noProof/>
          <w:sz w:val="24"/>
          <w:szCs w:val="24"/>
          <w:lang w:val="en-IE"/>
        </w:rPr>
        <w:t>, and</w:t>
      </w:r>
      <w:r w:rsidR="00E575BE" w:rsidRPr="00BD00A9">
        <w:rPr>
          <w:rFonts w:ascii="Times New Roman" w:hAnsi="Times New Roman"/>
          <w:noProof/>
          <w:sz w:val="24"/>
          <w:szCs w:val="24"/>
          <w:lang w:val="en-IE"/>
        </w:rPr>
        <w:t xml:space="preserve"> the World Health Organization (WHO)</w:t>
      </w:r>
      <w:r w:rsidRPr="00BD00A9">
        <w:rPr>
          <w:rFonts w:ascii="Times New Roman" w:hAnsi="Times New Roman"/>
          <w:noProof/>
          <w:sz w:val="24"/>
          <w:szCs w:val="24"/>
          <w:lang w:val="en-IE"/>
        </w:rPr>
        <w:t>, on 5 May 2023,</w:t>
      </w:r>
      <w:r w:rsidR="00E575BE" w:rsidRPr="00BD00A9">
        <w:rPr>
          <w:rFonts w:ascii="Times New Roman" w:hAnsi="Times New Roman"/>
          <w:noProof/>
          <w:sz w:val="24"/>
          <w:szCs w:val="24"/>
          <w:lang w:val="en-IE"/>
        </w:rPr>
        <w:t xml:space="preserve"> declare</w:t>
      </w:r>
      <w:r w:rsidRPr="00BD00A9">
        <w:rPr>
          <w:rFonts w:ascii="Times New Roman" w:hAnsi="Times New Roman"/>
          <w:noProof/>
          <w:sz w:val="24"/>
          <w:szCs w:val="24"/>
          <w:lang w:val="en-IE"/>
        </w:rPr>
        <w:t>d</w:t>
      </w:r>
      <w:r w:rsidR="00E575BE" w:rsidRPr="00BD00A9">
        <w:rPr>
          <w:rFonts w:ascii="Times New Roman" w:hAnsi="Times New Roman"/>
          <w:noProof/>
          <w:sz w:val="24"/>
          <w:szCs w:val="24"/>
          <w:lang w:val="en-IE"/>
        </w:rPr>
        <w:t xml:space="preserve"> th</w:t>
      </w:r>
      <w:r w:rsidRPr="00BD00A9">
        <w:rPr>
          <w:rFonts w:ascii="Times New Roman" w:hAnsi="Times New Roman"/>
          <w:noProof/>
          <w:sz w:val="24"/>
          <w:szCs w:val="24"/>
          <w:lang w:val="en-IE"/>
        </w:rPr>
        <w:t>at</w:t>
      </w:r>
      <w:r w:rsidR="00E575BE" w:rsidRPr="00BD00A9">
        <w:rPr>
          <w:rFonts w:ascii="Times New Roman" w:hAnsi="Times New Roman"/>
          <w:noProof/>
          <w:sz w:val="24"/>
          <w:szCs w:val="24"/>
          <w:lang w:val="en-IE"/>
        </w:rPr>
        <w:t xml:space="preserve"> COVID-19 </w:t>
      </w:r>
      <w:r w:rsidRPr="00BD00A9">
        <w:rPr>
          <w:rFonts w:ascii="Times New Roman" w:hAnsi="Times New Roman"/>
          <w:noProof/>
          <w:sz w:val="24"/>
          <w:szCs w:val="24"/>
          <w:lang w:val="en-IE"/>
        </w:rPr>
        <w:t>was no longer</w:t>
      </w:r>
      <w:r w:rsidR="00E575BE" w:rsidRPr="00BD00A9">
        <w:rPr>
          <w:rFonts w:ascii="Times New Roman" w:hAnsi="Times New Roman"/>
          <w:noProof/>
          <w:sz w:val="24"/>
          <w:szCs w:val="24"/>
          <w:lang w:val="en-IE"/>
        </w:rPr>
        <w:t xml:space="preserve"> a public health emergency of international concern</w:t>
      </w:r>
      <w:r w:rsidR="00E575BE" w:rsidRPr="00BD00A9">
        <w:rPr>
          <w:rStyle w:val="FootnoteReference"/>
          <w:rFonts w:ascii="Times New Roman" w:hAnsi="Times New Roman"/>
          <w:noProof/>
          <w:sz w:val="24"/>
          <w:szCs w:val="24"/>
          <w:lang w:val="en-IE"/>
        </w:rPr>
        <w:footnoteReference w:id="104"/>
      </w:r>
      <w:r w:rsidR="00E575BE" w:rsidRPr="00BD00A9">
        <w:rPr>
          <w:rFonts w:ascii="Times New Roman" w:hAnsi="Times New Roman"/>
          <w:noProof/>
          <w:sz w:val="24"/>
          <w:szCs w:val="24"/>
          <w:lang w:val="en-IE"/>
        </w:rPr>
        <w:t xml:space="preserve">, </w:t>
      </w:r>
      <w:r w:rsidRPr="00BD00A9">
        <w:rPr>
          <w:rFonts w:ascii="Times New Roman" w:hAnsi="Times New Roman"/>
          <w:noProof/>
          <w:sz w:val="24"/>
          <w:szCs w:val="24"/>
          <w:lang w:val="en-IE"/>
        </w:rPr>
        <w:t xml:space="preserve">there was no reason for </w:t>
      </w:r>
      <w:r w:rsidR="00E575BE" w:rsidRPr="00BD00A9">
        <w:rPr>
          <w:rFonts w:ascii="Times New Roman" w:hAnsi="Times New Roman"/>
          <w:noProof/>
          <w:sz w:val="24"/>
          <w:szCs w:val="24"/>
          <w:lang w:val="en-IE"/>
        </w:rPr>
        <w:t>a further extension of the Regulation. The Regulation therefore expired on 30 June 2023 and is no longer in force.</w:t>
      </w:r>
    </w:p>
    <w:p w14:paraId="49CD6AA8" w14:textId="7005E5C2" w:rsidR="00D855E4" w:rsidRPr="00BD00A9" w:rsidRDefault="00D855E4" w:rsidP="00D855E4">
      <w:pPr>
        <w:pStyle w:val="Heading2"/>
      </w:pPr>
      <w:bookmarkStart w:id="54" w:name="_Toc150854718"/>
      <w:bookmarkStart w:id="55" w:name="_Toc152502499"/>
      <w:r w:rsidRPr="00BD00A9">
        <w:t>Case</w:t>
      </w:r>
      <w:r w:rsidR="00AD3FCC" w:rsidRPr="00BD00A9">
        <w:t xml:space="preserve"> </w:t>
      </w:r>
      <w:r w:rsidRPr="00BD00A9">
        <w:t>law developments</w:t>
      </w:r>
      <w:bookmarkStart w:id="56" w:name="_Hlk146297425"/>
      <w:bookmarkEnd w:id="54"/>
      <w:bookmarkEnd w:id="55"/>
    </w:p>
    <w:p w14:paraId="4FFF084E" w14:textId="7CF05B6C" w:rsidR="00147C12" w:rsidRPr="00BD00A9" w:rsidRDefault="601E5A7A" w:rsidP="00147C12">
      <w:pPr>
        <w:spacing w:after="240" w:line="276" w:lineRule="auto"/>
        <w:jc w:val="both"/>
        <w:rPr>
          <w:rFonts w:ascii="Times New Roman" w:eastAsiaTheme="minorEastAsia" w:hAnsi="Times New Roman"/>
          <w:noProof/>
          <w:sz w:val="24"/>
          <w:szCs w:val="24"/>
          <w:lang w:val="en-GB" w:eastAsia="zh-CN"/>
        </w:rPr>
      </w:pPr>
      <w:r w:rsidRPr="00BD00A9">
        <w:rPr>
          <w:rFonts w:ascii="Times New Roman" w:eastAsiaTheme="minorEastAsia" w:hAnsi="Times New Roman"/>
          <w:noProof/>
          <w:sz w:val="24"/>
          <w:szCs w:val="24"/>
          <w:lang w:val="en-IE" w:eastAsia="zh-CN"/>
        </w:rPr>
        <w:t xml:space="preserve">The Court has delivered </w:t>
      </w:r>
      <w:r w:rsidR="00AD3FCC" w:rsidRPr="00BD00A9">
        <w:rPr>
          <w:rFonts w:ascii="Times New Roman" w:eastAsiaTheme="minorEastAsia" w:hAnsi="Times New Roman"/>
          <w:noProof/>
          <w:sz w:val="24"/>
          <w:szCs w:val="24"/>
          <w:lang w:val="en-IE" w:eastAsia="zh-CN"/>
        </w:rPr>
        <w:t>a number of</w:t>
      </w:r>
      <w:r w:rsidRPr="00BD00A9">
        <w:rPr>
          <w:rFonts w:ascii="Times New Roman" w:eastAsiaTheme="minorEastAsia" w:hAnsi="Times New Roman"/>
          <w:noProof/>
          <w:sz w:val="24"/>
          <w:szCs w:val="24"/>
          <w:lang w:val="en-IE" w:eastAsia="zh-CN"/>
        </w:rPr>
        <w:t xml:space="preserve"> judgments </w:t>
      </w:r>
      <w:r w:rsidR="00CC7F51" w:rsidRPr="00BD00A9">
        <w:rPr>
          <w:rFonts w:ascii="Times New Roman" w:eastAsiaTheme="minorEastAsia" w:hAnsi="Times New Roman"/>
          <w:noProof/>
          <w:sz w:val="24"/>
          <w:szCs w:val="24"/>
          <w:lang w:val="en-GB" w:eastAsia="zh-CN"/>
        </w:rPr>
        <w:t>in relation to Article 21 TFEU (including its implementation through the Free Movement Directive</w:t>
      </w:r>
      <w:r w:rsidR="008F7755" w:rsidRPr="00BD00A9">
        <w:rPr>
          <w:rStyle w:val="FootnoteReference"/>
          <w:rFonts w:ascii="Times New Roman" w:eastAsiaTheme="minorEastAsia" w:hAnsi="Times New Roman"/>
          <w:noProof/>
          <w:sz w:val="24"/>
          <w:szCs w:val="24"/>
          <w:lang w:val="en-GB" w:eastAsia="zh-CN"/>
        </w:rPr>
        <w:footnoteReference w:id="105"/>
      </w:r>
      <w:r w:rsidR="00CC7F51" w:rsidRPr="00BD00A9">
        <w:rPr>
          <w:rFonts w:ascii="Times New Roman" w:eastAsiaTheme="minorEastAsia" w:hAnsi="Times New Roman"/>
          <w:noProof/>
          <w:sz w:val="24"/>
          <w:szCs w:val="24"/>
          <w:lang w:val="en-GB" w:eastAsia="zh-CN"/>
        </w:rPr>
        <w:t xml:space="preserve">). The cases dealt, for example, with free movement and (derived) residence rights, entry and residence rights of </w:t>
      </w:r>
      <w:r w:rsidR="00AD3FCC" w:rsidRPr="00BD00A9">
        <w:rPr>
          <w:rFonts w:ascii="Times New Roman" w:eastAsiaTheme="minorEastAsia" w:hAnsi="Times New Roman"/>
          <w:noProof/>
          <w:sz w:val="24"/>
          <w:szCs w:val="24"/>
          <w:lang w:val="en-GB" w:eastAsia="zh-CN"/>
        </w:rPr>
        <w:t>‘</w:t>
      </w:r>
      <w:r w:rsidR="00CC7F51" w:rsidRPr="00BD00A9">
        <w:rPr>
          <w:rFonts w:ascii="Times New Roman" w:eastAsiaTheme="minorEastAsia" w:hAnsi="Times New Roman"/>
          <w:noProof/>
          <w:sz w:val="24"/>
          <w:szCs w:val="24"/>
          <w:lang w:val="en-GB" w:eastAsia="zh-CN"/>
        </w:rPr>
        <w:t>other family members</w:t>
      </w:r>
      <w:r w:rsidR="00AD3FCC" w:rsidRPr="00BD00A9">
        <w:rPr>
          <w:rFonts w:ascii="Times New Roman" w:eastAsiaTheme="minorEastAsia" w:hAnsi="Times New Roman"/>
          <w:noProof/>
          <w:sz w:val="24"/>
          <w:szCs w:val="24"/>
          <w:lang w:val="en-GB" w:eastAsia="zh-CN"/>
        </w:rPr>
        <w:t>’</w:t>
      </w:r>
      <w:r w:rsidR="00CC7F51" w:rsidRPr="00BD00A9">
        <w:rPr>
          <w:rFonts w:ascii="Times New Roman" w:eastAsiaTheme="minorEastAsia" w:hAnsi="Times New Roman"/>
          <w:noProof/>
          <w:sz w:val="24"/>
          <w:szCs w:val="24"/>
          <w:lang w:val="en-GB" w:eastAsia="zh-CN"/>
        </w:rPr>
        <w:t xml:space="preserve">, </w:t>
      </w:r>
      <w:r w:rsidR="00377423" w:rsidRPr="00BD00A9">
        <w:rPr>
          <w:rFonts w:ascii="Times New Roman" w:eastAsiaTheme="minorEastAsia" w:hAnsi="Times New Roman"/>
          <w:noProof/>
          <w:sz w:val="24"/>
          <w:szCs w:val="24"/>
          <w:lang w:val="en-GB" w:eastAsia="zh-CN"/>
        </w:rPr>
        <w:t>and</w:t>
      </w:r>
      <w:r w:rsidR="00CC7F51" w:rsidRPr="00BD00A9">
        <w:rPr>
          <w:rFonts w:ascii="Times New Roman" w:eastAsiaTheme="minorEastAsia" w:hAnsi="Times New Roman"/>
          <w:noProof/>
          <w:sz w:val="24"/>
          <w:szCs w:val="24"/>
          <w:lang w:val="en-GB" w:eastAsia="zh-CN"/>
        </w:rPr>
        <w:t xml:space="preserve"> access to benefits and/or social assistance by mobile EU citizens</w:t>
      </w:r>
      <w:r w:rsidR="008F7755" w:rsidRPr="00BD00A9">
        <w:rPr>
          <w:rFonts w:ascii="Times New Roman" w:eastAsiaTheme="minorEastAsia" w:hAnsi="Times New Roman"/>
          <w:noProof/>
          <w:sz w:val="24"/>
          <w:szCs w:val="24"/>
          <w:vertAlign w:val="superscript"/>
          <w:lang w:val="en-GB" w:eastAsia="zh-CN"/>
        </w:rPr>
        <w:footnoteReference w:id="106"/>
      </w:r>
      <w:r w:rsidR="00CC7F51" w:rsidRPr="00BD00A9">
        <w:rPr>
          <w:rFonts w:ascii="Times New Roman" w:eastAsiaTheme="minorEastAsia" w:hAnsi="Times New Roman"/>
          <w:noProof/>
          <w:sz w:val="24"/>
          <w:szCs w:val="24"/>
          <w:lang w:val="en-GB" w:eastAsia="zh-CN"/>
        </w:rPr>
        <w:t>.</w:t>
      </w:r>
      <w:r w:rsidR="00147C12" w:rsidRPr="00BD00A9">
        <w:rPr>
          <w:rFonts w:ascii="Times New Roman" w:eastAsiaTheme="minorEastAsia" w:hAnsi="Times New Roman"/>
          <w:noProof/>
          <w:sz w:val="24"/>
          <w:szCs w:val="24"/>
          <w:lang w:val="en-GB" w:eastAsia="zh-CN"/>
        </w:rPr>
        <w:t xml:space="preserve"> </w:t>
      </w:r>
    </w:p>
    <w:p w14:paraId="028C0E77" w14:textId="7C1A4303" w:rsidR="00147C12" w:rsidRPr="00BD00A9" w:rsidRDefault="000B66FC" w:rsidP="00147C12">
      <w:pPr>
        <w:spacing w:after="240" w:line="276" w:lineRule="auto"/>
        <w:jc w:val="both"/>
        <w:rPr>
          <w:rFonts w:ascii="Times New Roman" w:eastAsiaTheme="minorEastAsia" w:hAnsi="Times New Roman"/>
          <w:noProof/>
          <w:sz w:val="24"/>
          <w:szCs w:val="24"/>
          <w:lang w:val="en-GB" w:eastAsia="zh-CN"/>
        </w:rPr>
      </w:pPr>
      <w:r w:rsidRPr="00BD00A9">
        <w:rPr>
          <w:rFonts w:ascii="Times New Roman" w:eastAsiaTheme="minorEastAsia" w:hAnsi="Times New Roman"/>
          <w:noProof/>
          <w:sz w:val="24"/>
          <w:szCs w:val="24"/>
          <w:lang w:val="en-GB" w:eastAsia="zh-CN"/>
        </w:rPr>
        <w:t xml:space="preserve">One of the </w:t>
      </w:r>
      <w:r w:rsidR="00473996" w:rsidRPr="00BD00A9">
        <w:rPr>
          <w:rFonts w:ascii="Times New Roman" w:eastAsiaTheme="minorEastAsia" w:hAnsi="Times New Roman"/>
          <w:noProof/>
          <w:sz w:val="24"/>
          <w:szCs w:val="24"/>
          <w:lang w:val="en-GB" w:eastAsia="zh-CN"/>
        </w:rPr>
        <w:t xml:space="preserve">most important judgments </w:t>
      </w:r>
      <w:r w:rsidR="00377423" w:rsidRPr="00BD00A9">
        <w:rPr>
          <w:rFonts w:ascii="Times New Roman" w:eastAsiaTheme="minorEastAsia" w:hAnsi="Times New Roman"/>
          <w:noProof/>
          <w:sz w:val="24"/>
          <w:szCs w:val="24"/>
          <w:lang w:val="en-GB" w:eastAsia="zh-CN"/>
        </w:rPr>
        <w:t>in the</w:t>
      </w:r>
      <w:r w:rsidRPr="00BD00A9">
        <w:rPr>
          <w:rFonts w:ascii="Times New Roman" w:eastAsiaTheme="minorEastAsia" w:hAnsi="Times New Roman"/>
          <w:noProof/>
          <w:sz w:val="24"/>
          <w:szCs w:val="24"/>
          <w:lang w:val="en-GB" w:eastAsia="zh-CN"/>
        </w:rPr>
        <w:t xml:space="preserve"> period</w:t>
      </w:r>
      <w:r w:rsidR="00377423" w:rsidRPr="00BD00A9">
        <w:rPr>
          <w:rFonts w:ascii="Times New Roman" w:eastAsiaTheme="minorEastAsia" w:hAnsi="Times New Roman"/>
          <w:noProof/>
          <w:sz w:val="24"/>
          <w:szCs w:val="24"/>
          <w:lang w:val="en-GB" w:eastAsia="zh-CN"/>
        </w:rPr>
        <w:t xml:space="preserve"> covered by this report</w:t>
      </w:r>
      <w:r w:rsidRPr="00BD00A9">
        <w:rPr>
          <w:rFonts w:ascii="Times New Roman" w:eastAsiaTheme="minorEastAsia" w:hAnsi="Times New Roman"/>
          <w:noProof/>
          <w:sz w:val="24"/>
          <w:szCs w:val="24"/>
          <w:lang w:val="en-GB" w:eastAsia="zh-CN"/>
        </w:rPr>
        <w:t xml:space="preserve"> is the </w:t>
      </w:r>
      <w:r w:rsidR="00377423" w:rsidRPr="00BD00A9">
        <w:rPr>
          <w:rFonts w:ascii="Times New Roman" w:eastAsiaTheme="minorEastAsia" w:hAnsi="Times New Roman"/>
          <w:noProof/>
          <w:sz w:val="24"/>
          <w:szCs w:val="24"/>
          <w:lang w:val="en-GB" w:eastAsia="zh-CN"/>
        </w:rPr>
        <w:t>ruling in</w:t>
      </w:r>
      <w:r w:rsidR="00147C12" w:rsidRPr="00BD00A9">
        <w:rPr>
          <w:rFonts w:ascii="Times New Roman" w:eastAsiaTheme="minorEastAsia" w:hAnsi="Times New Roman"/>
          <w:noProof/>
          <w:sz w:val="24"/>
          <w:szCs w:val="24"/>
          <w:lang w:val="en-GB" w:eastAsia="zh-CN"/>
        </w:rPr>
        <w:t xml:space="preserve"> </w:t>
      </w:r>
      <w:r w:rsidR="00147C12" w:rsidRPr="00BD00A9">
        <w:rPr>
          <w:rFonts w:ascii="Times New Roman" w:eastAsiaTheme="minorEastAsia" w:hAnsi="Times New Roman"/>
          <w:b/>
          <w:i/>
          <w:noProof/>
          <w:sz w:val="24"/>
          <w:szCs w:val="24"/>
          <w:lang w:val="en-GB" w:eastAsia="zh-CN"/>
        </w:rPr>
        <w:t xml:space="preserve">V.М.А. v Stolichna obshtina, rayon </w:t>
      </w:r>
      <w:r w:rsidR="00BE0E17" w:rsidRPr="00BD00A9">
        <w:rPr>
          <w:rFonts w:ascii="Times New Roman" w:eastAsiaTheme="minorEastAsia" w:hAnsi="Times New Roman"/>
          <w:b/>
          <w:i/>
          <w:noProof/>
          <w:sz w:val="24"/>
          <w:szCs w:val="24"/>
          <w:lang w:val="en-GB" w:eastAsia="zh-CN"/>
        </w:rPr>
        <w:t>‘</w:t>
      </w:r>
      <w:r w:rsidR="00147C12" w:rsidRPr="00BD00A9">
        <w:rPr>
          <w:rFonts w:ascii="Times New Roman" w:eastAsiaTheme="minorEastAsia" w:hAnsi="Times New Roman"/>
          <w:b/>
          <w:i/>
          <w:noProof/>
          <w:sz w:val="24"/>
          <w:szCs w:val="24"/>
          <w:lang w:val="en-GB" w:eastAsia="zh-CN"/>
        </w:rPr>
        <w:t>Pancharevo</w:t>
      </w:r>
      <w:r w:rsidR="00BE0E17" w:rsidRPr="00BD00A9">
        <w:rPr>
          <w:rFonts w:ascii="Times New Roman" w:eastAsiaTheme="minorEastAsia" w:hAnsi="Times New Roman"/>
          <w:b/>
          <w:i/>
          <w:noProof/>
          <w:sz w:val="24"/>
          <w:szCs w:val="24"/>
          <w:lang w:val="en-GB" w:eastAsia="zh-CN"/>
        </w:rPr>
        <w:t>’</w:t>
      </w:r>
      <w:r w:rsidR="00147C12" w:rsidRPr="00BD00A9">
        <w:rPr>
          <w:rFonts w:ascii="Times New Roman" w:eastAsiaTheme="minorEastAsia" w:hAnsi="Times New Roman"/>
          <w:noProof/>
          <w:sz w:val="24"/>
          <w:szCs w:val="24"/>
          <w:vertAlign w:val="superscript"/>
          <w:lang w:val="en-GB" w:eastAsia="zh-CN"/>
        </w:rPr>
        <w:footnoteReference w:id="107"/>
      </w:r>
      <w:r w:rsidR="00147C12" w:rsidRPr="00BD00A9">
        <w:rPr>
          <w:rFonts w:ascii="Times New Roman" w:eastAsiaTheme="minorEastAsia" w:hAnsi="Times New Roman"/>
          <w:bCs/>
          <w:i/>
          <w:noProof/>
          <w:sz w:val="24"/>
          <w:szCs w:val="24"/>
          <w:lang w:val="en-GB" w:eastAsia="zh-CN"/>
        </w:rPr>
        <w:t xml:space="preserve">, </w:t>
      </w:r>
      <w:r w:rsidR="00147C12" w:rsidRPr="00BD00A9">
        <w:rPr>
          <w:rFonts w:ascii="Times New Roman" w:eastAsiaTheme="minorEastAsia" w:hAnsi="Times New Roman"/>
          <w:bCs/>
          <w:iCs/>
          <w:noProof/>
          <w:sz w:val="24"/>
          <w:szCs w:val="24"/>
          <w:lang w:val="en-GB" w:eastAsia="zh-CN"/>
        </w:rPr>
        <w:t xml:space="preserve">which clarified that, if one parent is an EU citizen, all Member States </w:t>
      </w:r>
      <w:r w:rsidR="00377423" w:rsidRPr="00BD00A9">
        <w:rPr>
          <w:rFonts w:ascii="Times New Roman" w:eastAsiaTheme="minorEastAsia" w:hAnsi="Times New Roman"/>
          <w:bCs/>
          <w:iCs/>
          <w:noProof/>
          <w:sz w:val="24"/>
          <w:szCs w:val="24"/>
          <w:lang w:val="en-GB" w:eastAsia="zh-CN"/>
        </w:rPr>
        <w:t>must</w:t>
      </w:r>
      <w:r w:rsidR="00147C12" w:rsidRPr="00BD00A9">
        <w:rPr>
          <w:rFonts w:ascii="Times New Roman" w:eastAsiaTheme="minorEastAsia" w:hAnsi="Times New Roman"/>
          <w:bCs/>
          <w:iCs/>
          <w:noProof/>
          <w:sz w:val="24"/>
          <w:szCs w:val="24"/>
          <w:lang w:val="en-GB" w:eastAsia="zh-CN"/>
        </w:rPr>
        <w:t xml:space="preserve"> recognise the parent-child relationship</w:t>
      </w:r>
      <w:r w:rsidR="002546CC" w:rsidRPr="00BD00A9">
        <w:rPr>
          <w:rFonts w:ascii="Times New Roman" w:eastAsiaTheme="minorEastAsia" w:hAnsi="Times New Roman"/>
          <w:bCs/>
          <w:iCs/>
          <w:noProof/>
          <w:sz w:val="24"/>
          <w:szCs w:val="24"/>
          <w:lang w:val="en-GB" w:eastAsia="zh-CN"/>
        </w:rPr>
        <w:t>,</w:t>
      </w:r>
      <w:r w:rsidR="00147C12" w:rsidRPr="00BD00A9">
        <w:rPr>
          <w:rFonts w:ascii="Times New Roman" w:eastAsiaTheme="minorEastAsia" w:hAnsi="Times New Roman"/>
          <w:bCs/>
          <w:iCs/>
          <w:noProof/>
          <w:sz w:val="24"/>
          <w:szCs w:val="24"/>
          <w:lang w:val="en-GB" w:eastAsia="zh-CN"/>
        </w:rPr>
        <w:t xml:space="preserve"> as established in the birth certificate drawn up by a Member State for the purposes of the exercise of the rights enjoyed under EU law, without any additional formality. This applies regardless of the status of such a relationship in the law of other Member States and particularly the Member State(s) of </w:t>
      </w:r>
      <w:r w:rsidR="00377423" w:rsidRPr="00BD00A9">
        <w:rPr>
          <w:rFonts w:ascii="Times New Roman" w:eastAsiaTheme="minorEastAsia" w:hAnsi="Times New Roman"/>
          <w:bCs/>
          <w:iCs/>
          <w:noProof/>
          <w:sz w:val="24"/>
          <w:szCs w:val="24"/>
          <w:lang w:val="en-GB" w:eastAsia="zh-CN"/>
        </w:rPr>
        <w:t xml:space="preserve">which the child is a </w:t>
      </w:r>
      <w:r w:rsidR="00147C12" w:rsidRPr="00BD00A9">
        <w:rPr>
          <w:rFonts w:ascii="Times New Roman" w:eastAsiaTheme="minorEastAsia" w:hAnsi="Times New Roman"/>
          <w:bCs/>
          <w:iCs/>
          <w:noProof/>
          <w:sz w:val="24"/>
          <w:szCs w:val="24"/>
          <w:lang w:val="en-GB" w:eastAsia="zh-CN"/>
        </w:rPr>
        <w:t>national.</w:t>
      </w:r>
      <w:r w:rsidR="00147C12" w:rsidRPr="00BD00A9" w:rsidDel="00792891">
        <w:rPr>
          <w:rFonts w:ascii="Times New Roman" w:eastAsiaTheme="minorEastAsia" w:hAnsi="Times New Roman"/>
          <w:bCs/>
          <w:i/>
          <w:noProof/>
          <w:sz w:val="24"/>
          <w:szCs w:val="24"/>
          <w:lang w:val="en-GB" w:eastAsia="zh-CN"/>
        </w:rPr>
        <w:t xml:space="preserve"> </w:t>
      </w:r>
      <w:r w:rsidR="00377423" w:rsidRPr="00BD00A9">
        <w:rPr>
          <w:rFonts w:ascii="Times New Roman" w:eastAsiaTheme="minorEastAsia" w:hAnsi="Times New Roman"/>
          <w:noProof/>
          <w:sz w:val="24"/>
          <w:szCs w:val="24"/>
          <w:lang w:val="en-GB" w:eastAsia="zh-CN"/>
        </w:rPr>
        <w:t>The</w:t>
      </w:r>
      <w:r w:rsidR="00B13490" w:rsidRPr="00BD00A9">
        <w:rPr>
          <w:rFonts w:ascii="Times New Roman" w:eastAsiaTheme="minorEastAsia" w:hAnsi="Times New Roman"/>
          <w:noProof/>
          <w:sz w:val="24"/>
          <w:szCs w:val="24"/>
          <w:lang w:val="en-GB" w:eastAsia="zh-CN"/>
        </w:rPr>
        <w:t xml:space="preserve"> case</w:t>
      </w:r>
      <w:r w:rsidR="00377423" w:rsidRPr="00BD00A9">
        <w:rPr>
          <w:rFonts w:ascii="Times New Roman" w:eastAsiaTheme="minorEastAsia" w:hAnsi="Times New Roman"/>
          <w:noProof/>
          <w:sz w:val="24"/>
          <w:szCs w:val="24"/>
          <w:lang w:val="en-GB" w:eastAsia="zh-CN"/>
        </w:rPr>
        <w:t xml:space="preserve"> in question concerned</w:t>
      </w:r>
      <w:r w:rsidR="00B13490" w:rsidRPr="00BD00A9">
        <w:rPr>
          <w:rFonts w:ascii="Times New Roman" w:eastAsiaTheme="minorEastAsia" w:hAnsi="Times New Roman"/>
          <w:noProof/>
          <w:sz w:val="24"/>
          <w:szCs w:val="24"/>
          <w:lang w:val="en-GB" w:eastAsia="zh-CN"/>
        </w:rPr>
        <w:t xml:space="preserve"> two same-sex parents but the principle of recognition of a parent-child relationship for the purpose of the exercise of the right</w:t>
      </w:r>
      <w:r w:rsidR="002546CC" w:rsidRPr="00BD00A9">
        <w:rPr>
          <w:rFonts w:ascii="Times New Roman" w:eastAsiaTheme="minorEastAsia" w:hAnsi="Times New Roman"/>
          <w:noProof/>
          <w:sz w:val="24"/>
          <w:szCs w:val="24"/>
          <w:lang w:val="en-GB" w:eastAsia="zh-CN"/>
        </w:rPr>
        <w:t xml:space="preserve">s </w:t>
      </w:r>
      <w:r w:rsidR="00F41033" w:rsidRPr="00BD00A9">
        <w:rPr>
          <w:rFonts w:ascii="Times New Roman" w:eastAsiaTheme="minorEastAsia" w:hAnsi="Times New Roman"/>
          <w:noProof/>
          <w:sz w:val="24"/>
          <w:szCs w:val="24"/>
          <w:lang w:val="en-GB" w:eastAsia="zh-CN"/>
        </w:rPr>
        <w:t>derived from</w:t>
      </w:r>
      <w:r w:rsidR="002546CC" w:rsidRPr="00BD00A9">
        <w:rPr>
          <w:rFonts w:ascii="Times New Roman" w:eastAsiaTheme="minorEastAsia" w:hAnsi="Times New Roman"/>
          <w:noProof/>
          <w:sz w:val="24"/>
          <w:szCs w:val="24"/>
          <w:lang w:val="en-GB" w:eastAsia="zh-CN"/>
        </w:rPr>
        <w:t xml:space="preserve"> EU law</w:t>
      </w:r>
      <w:r w:rsidR="00B13490" w:rsidRPr="00BD00A9">
        <w:rPr>
          <w:rFonts w:ascii="Times New Roman" w:eastAsiaTheme="minorEastAsia" w:hAnsi="Times New Roman"/>
          <w:noProof/>
          <w:sz w:val="24"/>
          <w:szCs w:val="24"/>
          <w:lang w:val="en-GB" w:eastAsia="zh-CN"/>
        </w:rPr>
        <w:t xml:space="preserve"> extends to all</w:t>
      </w:r>
      <w:r w:rsidR="00377423" w:rsidRPr="00BD00A9">
        <w:rPr>
          <w:rFonts w:ascii="Times New Roman" w:eastAsiaTheme="minorEastAsia" w:hAnsi="Times New Roman"/>
          <w:noProof/>
          <w:sz w:val="24"/>
          <w:szCs w:val="24"/>
          <w:lang w:val="en-GB" w:eastAsia="zh-CN"/>
        </w:rPr>
        <w:t xml:space="preserve"> </w:t>
      </w:r>
      <w:r w:rsidR="00B13490" w:rsidRPr="00BD00A9">
        <w:rPr>
          <w:rFonts w:ascii="Times New Roman" w:eastAsiaTheme="minorEastAsia" w:hAnsi="Times New Roman"/>
          <w:noProof/>
          <w:sz w:val="24"/>
          <w:szCs w:val="24"/>
          <w:lang w:val="en-GB" w:eastAsia="zh-CN"/>
        </w:rPr>
        <w:t>parenthood.</w:t>
      </w:r>
    </w:p>
    <w:p w14:paraId="4E6AC04E" w14:textId="1689D4A3" w:rsidR="008F7755" w:rsidRPr="00BD00A9" w:rsidRDefault="008F7755" w:rsidP="00147C12">
      <w:pPr>
        <w:spacing w:after="240" w:line="276" w:lineRule="auto"/>
        <w:jc w:val="both"/>
        <w:rPr>
          <w:rFonts w:ascii="Times New Roman" w:eastAsiaTheme="minorEastAsia" w:hAnsi="Times New Roman"/>
          <w:noProof/>
          <w:sz w:val="24"/>
          <w:szCs w:val="24"/>
          <w:lang w:val="en-GB" w:eastAsia="zh-CN"/>
        </w:rPr>
      </w:pPr>
      <w:r w:rsidRPr="00BD00A9">
        <w:rPr>
          <w:rFonts w:ascii="Times New Roman" w:eastAsiaTheme="minorEastAsia" w:hAnsi="Times New Roman"/>
          <w:noProof/>
          <w:sz w:val="24"/>
          <w:szCs w:val="24"/>
          <w:lang w:val="en-GB" w:eastAsia="zh-CN"/>
        </w:rPr>
        <w:t>This case, and all other relevant judgments on Article 21 TFEU and its implementation through the Free Movement Directive, are explained in more detail in Annex II.</w:t>
      </w:r>
    </w:p>
    <w:p w14:paraId="35EE366D" w14:textId="0C473B00" w:rsidR="00CD2808" w:rsidRPr="00BD00A9" w:rsidRDefault="00CC7F51" w:rsidP="00CC7F51">
      <w:pPr>
        <w:spacing w:after="240" w:line="276" w:lineRule="auto"/>
        <w:jc w:val="both"/>
        <w:rPr>
          <w:rFonts w:ascii="Times New Roman" w:eastAsiaTheme="minorEastAsia" w:hAnsi="Times New Roman"/>
          <w:noProof/>
          <w:sz w:val="24"/>
          <w:szCs w:val="24"/>
          <w:lang w:val="en-GB" w:eastAsia="zh-CN"/>
        </w:rPr>
      </w:pPr>
      <w:r w:rsidRPr="00BD00A9">
        <w:rPr>
          <w:rFonts w:ascii="Times New Roman" w:eastAsiaTheme="minorEastAsia" w:hAnsi="Times New Roman"/>
          <w:noProof/>
          <w:sz w:val="24"/>
          <w:szCs w:val="24"/>
          <w:lang w:val="en-GB" w:eastAsia="zh-CN"/>
        </w:rPr>
        <w:t xml:space="preserve">The Court has also delivered </w:t>
      </w:r>
      <w:r w:rsidR="00377423" w:rsidRPr="00BD00A9">
        <w:rPr>
          <w:rFonts w:ascii="Times New Roman" w:eastAsiaTheme="minorEastAsia" w:hAnsi="Times New Roman"/>
          <w:noProof/>
          <w:sz w:val="24"/>
          <w:szCs w:val="24"/>
          <w:lang w:val="en-GB" w:eastAsia="zh-CN"/>
        </w:rPr>
        <w:t>a number of</w:t>
      </w:r>
      <w:r w:rsidRPr="00BD00A9">
        <w:rPr>
          <w:rFonts w:ascii="Times New Roman" w:eastAsiaTheme="minorEastAsia" w:hAnsi="Times New Roman"/>
          <w:noProof/>
          <w:sz w:val="24"/>
          <w:szCs w:val="24"/>
          <w:lang w:val="en-GB" w:eastAsia="zh-CN"/>
        </w:rPr>
        <w:t xml:space="preserve"> judgments on the topic of derived rights of residence for non-EU family members of EU citizens, following the Court’s line of rulings starting from </w:t>
      </w:r>
      <w:r w:rsidRPr="00BD00A9">
        <w:rPr>
          <w:rFonts w:ascii="Times New Roman" w:eastAsiaTheme="minorEastAsia" w:hAnsi="Times New Roman"/>
          <w:i/>
          <w:iCs/>
          <w:noProof/>
          <w:sz w:val="24"/>
          <w:szCs w:val="24"/>
          <w:lang w:val="en-GB" w:eastAsia="zh-CN"/>
        </w:rPr>
        <w:t>Ruiz Zambrano</w:t>
      </w:r>
      <w:r w:rsidRPr="00BD00A9">
        <w:rPr>
          <w:rFonts w:ascii="Times New Roman" w:eastAsiaTheme="minorEastAsia" w:hAnsi="Times New Roman"/>
          <w:noProof/>
          <w:sz w:val="24"/>
          <w:szCs w:val="24"/>
          <w:lang w:val="en-GB" w:eastAsia="zh-CN"/>
        </w:rPr>
        <w:t>, based on Article 20 TFEU</w:t>
      </w:r>
      <w:r w:rsidR="00B13490" w:rsidRPr="00BD00A9">
        <w:rPr>
          <w:rFonts w:ascii="Times New Roman" w:eastAsiaTheme="minorEastAsia" w:hAnsi="Times New Roman"/>
          <w:noProof/>
          <w:sz w:val="24"/>
          <w:szCs w:val="24"/>
          <w:lang w:val="en-GB" w:eastAsia="zh-CN"/>
        </w:rPr>
        <w:t xml:space="preserve">. </w:t>
      </w:r>
      <w:r w:rsidR="00377423" w:rsidRPr="00BD00A9">
        <w:rPr>
          <w:rFonts w:ascii="Times New Roman" w:eastAsiaTheme="minorEastAsia" w:hAnsi="Times New Roman"/>
          <w:noProof/>
          <w:sz w:val="24"/>
          <w:szCs w:val="24"/>
          <w:lang w:val="en-GB" w:eastAsia="zh-CN"/>
        </w:rPr>
        <w:t xml:space="preserve">These </w:t>
      </w:r>
      <w:r w:rsidR="00CD2808" w:rsidRPr="00BD00A9">
        <w:rPr>
          <w:rFonts w:ascii="Times New Roman" w:eastAsiaTheme="minorEastAsia" w:hAnsi="Times New Roman"/>
          <w:noProof/>
          <w:sz w:val="24"/>
          <w:szCs w:val="24"/>
          <w:lang w:val="en-GB" w:eastAsia="zh-CN"/>
        </w:rPr>
        <w:t xml:space="preserve">build on the idea that Article 20 TFEU recognises </w:t>
      </w:r>
      <w:r w:rsidR="00B13490" w:rsidRPr="00BD00A9">
        <w:rPr>
          <w:rFonts w:ascii="Times New Roman" w:eastAsiaTheme="minorEastAsia" w:hAnsi="Times New Roman"/>
          <w:noProof/>
          <w:sz w:val="24"/>
          <w:szCs w:val="24"/>
          <w:lang w:val="en-GB" w:eastAsia="zh-CN"/>
        </w:rPr>
        <w:t>a</w:t>
      </w:r>
      <w:r w:rsidR="00CD2808" w:rsidRPr="00BD00A9">
        <w:rPr>
          <w:rFonts w:ascii="Times New Roman" w:eastAsiaTheme="minorEastAsia" w:hAnsi="Times New Roman"/>
          <w:noProof/>
          <w:sz w:val="24"/>
          <w:szCs w:val="24"/>
          <w:lang w:val="en-GB" w:eastAsia="zh-CN"/>
        </w:rPr>
        <w:t xml:space="preserve"> derived right of residence </w:t>
      </w:r>
      <w:r w:rsidR="00377423" w:rsidRPr="00BD00A9">
        <w:rPr>
          <w:rFonts w:ascii="Times New Roman" w:eastAsiaTheme="minorEastAsia" w:hAnsi="Times New Roman"/>
          <w:noProof/>
          <w:sz w:val="24"/>
          <w:szCs w:val="24"/>
          <w:lang w:val="en-GB" w:eastAsia="zh-CN"/>
        </w:rPr>
        <w:t>on the part of the</w:t>
      </w:r>
      <w:r w:rsidR="00CD2808" w:rsidRPr="00BD00A9">
        <w:rPr>
          <w:rFonts w:ascii="Times New Roman" w:eastAsiaTheme="minorEastAsia" w:hAnsi="Times New Roman"/>
          <w:noProof/>
          <w:sz w:val="24"/>
          <w:szCs w:val="24"/>
          <w:lang w:val="en-GB" w:eastAsia="zh-CN"/>
        </w:rPr>
        <w:t xml:space="preserve"> non-EU family members of</w:t>
      </w:r>
      <w:r w:rsidR="00215B79" w:rsidRPr="00BD00A9">
        <w:rPr>
          <w:rFonts w:ascii="Times New Roman" w:eastAsiaTheme="minorEastAsia" w:hAnsi="Times New Roman"/>
          <w:noProof/>
          <w:sz w:val="24"/>
          <w:szCs w:val="24"/>
          <w:lang w:val="en-GB" w:eastAsia="zh-CN"/>
        </w:rPr>
        <w:t xml:space="preserve"> a ‘static’</w:t>
      </w:r>
      <w:r w:rsidR="00CD2808" w:rsidRPr="00BD00A9">
        <w:rPr>
          <w:rFonts w:ascii="Times New Roman" w:eastAsiaTheme="minorEastAsia" w:hAnsi="Times New Roman"/>
          <w:noProof/>
          <w:sz w:val="24"/>
          <w:szCs w:val="24"/>
          <w:lang w:val="en-GB" w:eastAsia="zh-CN"/>
        </w:rPr>
        <w:t xml:space="preserve"> EU citizen </w:t>
      </w:r>
      <w:r w:rsidR="00215B79" w:rsidRPr="00BD00A9">
        <w:rPr>
          <w:rFonts w:ascii="Times New Roman" w:eastAsiaTheme="minorEastAsia" w:hAnsi="Times New Roman"/>
          <w:noProof/>
          <w:sz w:val="24"/>
          <w:szCs w:val="24"/>
          <w:lang w:val="en-GB" w:eastAsia="zh-CN"/>
        </w:rPr>
        <w:t>(</w:t>
      </w:r>
      <w:r w:rsidR="00CD2808" w:rsidRPr="00BD00A9">
        <w:rPr>
          <w:rFonts w:ascii="Times New Roman" w:eastAsiaTheme="minorEastAsia" w:hAnsi="Times New Roman"/>
          <w:noProof/>
          <w:sz w:val="24"/>
          <w:szCs w:val="24"/>
          <w:lang w:val="en-GB" w:eastAsia="zh-CN"/>
        </w:rPr>
        <w:t xml:space="preserve">who has not exercised </w:t>
      </w:r>
      <w:r w:rsidR="00215B79" w:rsidRPr="00BD00A9">
        <w:rPr>
          <w:rFonts w:ascii="Times New Roman" w:eastAsiaTheme="minorEastAsia" w:hAnsi="Times New Roman"/>
          <w:noProof/>
          <w:sz w:val="24"/>
          <w:szCs w:val="24"/>
          <w:lang w:val="en-GB" w:eastAsia="zh-CN"/>
        </w:rPr>
        <w:t>free movement) whe</w:t>
      </w:r>
      <w:r w:rsidR="00377423" w:rsidRPr="00BD00A9">
        <w:rPr>
          <w:rFonts w:ascii="Times New Roman" w:eastAsiaTheme="minorEastAsia" w:hAnsi="Times New Roman"/>
          <w:noProof/>
          <w:sz w:val="24"/>
          <w:szCs w:val="24"/>
          <w:lang w:val="en-GB" w:eastAsia="zh-CN"/>
        </w:rPr>
        <w:t>re</w:t>
      </w:r>
      <w:r w:rsidR="00215B79" w:rsidRPr="00BD00A9">
        <w:rPr>
          <w:rFonts w:ascii="Times New Roman" w:eastAsiaTheme="minorEastAsia" w:hAnsi="Times New Roman"/>
          <w:noProof/>
          <w:sz w:val="24"/>
          <w:szCs w:val="24"/>
          <w:lang w:val="en-GB" w:eastAsia="zh-CN"/>
        </w:rPr>
        <w:t xml:space="preserve"> there is a relationship of dependency</w:t>
      </w:r>
      <w:r w:rsidR="00377423" w:rsidRPr="00BD00A9">
        <w:rPr>
          <w:rFonts w:ascii="Times New Roman" w:eastAsiaTheme="minorEastAsia" w:hAnsi="Times New Roman"/>
          <w:noProof/>
          <w:sz w:val="24"/>
          <w:szCs w:val="24"/>
          <w:lang w:val="en-GB" w:eastAsia="zh-CN"/>
        </w:rPr>
        <w:t>,</w:t>
      </w:r>
      <w:r w:rsidR="00215B79" w:rsidRPr="00BD00A9">
        <w:rPr>
          <w:rFonts w:ascii="Times New Roman" w:eastAsiaTheme="minorEastAsia" w:hAnsi="Times New Roman"/>
          <w:noProof/>
          <w:sz w:val="24"/>
          <w:szCs w:val="24"/>
          <w:lang w:val="en-GB" w:eastAsia="zh-CN"/>
        </w:rPr>
        <w:t xml:space="preserve"> which would otherwise lead to the effectiveness of EU citizenship to be undermined</w:t>
      </w:r>
      <w:r w:rsidR="00377423" w:rsidRPr="00BD00A9">
        <w:rPr>
          <w:rFonts w:ascii="Times New Roman" w:eastAsiaTheme="minorEastAsia" w:hAnsi="Times New Roman"/>
          <w:noProof/>
          <w:sz w:val="24"/>
          <w:szCs w:val="24"/>
          <w:lang w:val="en-GB" w:eastAsia="zh-CN"/>
        </w:rPr>
        <w:t>. A summary of the judgements</w:t>
      </w:r>
      <w:r w:rsidR="00215B79" w:rsidRPr="00BD00A9">
        <w:rPr>
          <w:rFonts w:ascii="Times New Roman" w:eastAsiaTheme="minorEastAsia" w:hAnsi="Times New Roman"/>
          <w:noProof/>
          <w:sz w:val="24"/>
          <w:szCs w:val="24"/>
          <w:lang w:val="en-GB" w:eastAsia="zh-CN"/>
        </w:rPr>
        <w:t xml:space="preserve"> </w:t>
      </w:r>
      <w:r w:rsidR="00147C12" w:rsidRPr="00BD00A9">
        <w:rPr>
          <w:rFonts w:ascii="Times New Roman" w:eastAsiaTheme="minorEastAsia" w:hAnsi="Times New Roman"/>
          <w:noProof/>
          <w:sz w:val="24"/>
          <w:szCs w:val="24"/>
          <w:lang w:val="en-GB" w:eastAsia="zh-CN"/>
        </w:rPr>
        <w:t>is also available in Annex II.</w:t>
      </w:r>
      <w:bookmarkStart w:id="57" w:name="_Hlk147235860"/>
    </w:p>
    <w:p w14:paraId="69DD5507" w14:textId="23AF385B" w:rsidR="00D855E4" w:rsidRPr="00BD00A9" w:rsidRDefault="00D855E4" w:rsidP="00D855E4">
      <w:pPr>
        <w:pStyle w:val="Heading1"/>
      </w:pPr>
      <w:bookmarkStart w:id="58" w:name="_Toc150854719"/>
      <w:bookmarkStart w:id="59" w:name="_Toc152502500"/>
      <w:bookmarkEnd w:id="56"/>
      <w:bookmarkEnd w:id="57"/>
      <w:r w:rsidRPr="00BD00A9">
        <w:t xml:space="preserve">Right to vote and stand as a candidate in municipal </w:t>
      </w:r>
      <w:r w:rsidR="00875012" w:rsidRPr="00BD00A9">
        <w:t xml:space="preserve">elections </w:t>
      </w:r>
      <w:r w:rsidRPr="00BD00A9">
        <w:t>and</w:t>
      </w:r>
      <w:r w:rsidR="00875012" w:rsidRPr="00BD00A9">
        <w:t xml:space="preserve"> elections to the</w:t>
      </w:r>
      <w:r w:rsidRPr="00BD00A9">
        <w:t xml:space="preserve"> European Parliament (Articles 20(2)(b) and 22 TFEU)</w:t>
      </w:r>
      <w:bookmarkEnd w:id="58"/>
      <w:bookmarkEnd w:id="59"/>
    </w:p>
    <w:p w14:paraId="302E8390" w14:textId="1CA56CF4" w:rsidR="00DD25C9" w:rsidRPr="00BD00A9" w:rsidRDefault="00DD25C9" w:rsidP="00D855E4">
      <w:pPr>
        <w:pStyle w:val="Heading2"/>
      </w:pPr>
      <w:bookmarkStart w:id="60" w:name="_Toc150854720"/>
      <w:bookmarkStart w:id="61" w:name="_Toc152502501"/>
      <w:r w:rsidRPr="00BD00A9">
        <w:t>Introduction</w:t>
      </w:r>
      <w:bookmarkEnd w:id="60"/>
      <w:bookmarkEnd w:id="61"/>
    </w:p>
    <w:p w14:paraId="368B47FE" w14:textId="314E0D69" w:rsidR="00DD25C9" w:rsidRPr="00BD00A9" w:rsidRDefault="5ED4BAA4" w:rsidP="00DD25C9">
      <w:pPr>
        <w:spacing w:after="240" w:line="276" w:lineRule="auto"/>
        <w:jc w:val="both"/>
        <w:rPr>
          <w:rFonts w:ascii="Times New Roman" w:hAnsi="Times New Roman"/>
          <w:noProof/>
          <w:sz w:val="24"/>
          <w:szCs w:val="24"/>
          <w:lang w:val="en-IE"/>
        </w:rPr>
      </w:pPr>
      <w:r w:rsidRPr="00BD00A9">
        <w:rPr>
          <w:rFonts w:ascii="Times New Roman" w:eastAsiaTheme="minorEastAsia" w:hAnsi="Times New Roman"/>
          <w:noProof/>
          <w:sz w:val="24"/>
          <w:szCs w:val="24"/>
          <w:lang w:val="en-IE" w:eastAsia="zh-CN"/>
        </w:rPr>
        <w:t xml:space="preserve">Under Articles 20(2)(b) and 22 TFEU, all EU citizens residing in a Member State of which they are not nationals are entitled to vote and stand as candidates in </w:t>
      </w:r>
      <w:r w:rsidR="00875012" w:rsidRPr="00BD00A9">
        <w:rPr>
          <w:rFonts w:ascii="Times New Roman" w:eastAsiaTheme="minorEastAsia" w:hAnsi="Times New Roman"/>
          <w:noProof/>
          <w:sz w:val="24"/>
          <w:szCs w:val="24"/>
          <w:lang w:val="en-IE" w:eastAsia="zh-CN"/>
        </w:rPr>
        <w:t xml:space="preserve">elections to the </w:t>
      </w:r>
      <w:r w:rsidRPr="00BD00A9">
        <w:rPr>
          <w:rFonts w:ascii="Times New Roman" w:eastAsiaTheme="minorEastAsia" w:hAnsi="Times New Roman"/>
          <w:noProof/>
          <w:sz w:val="24"/>
          <w:szCs w:val="24"/>
          <w:lang w:val="en-IE" w:eastAsia="zh-CN"/>
        </w:rPr>
        <w:t>European Parliament and municipal elections in their Member State of residence, under the same conditions as that state’s nationals.</w:t>
      </w:r>
      <w:r w:rsidRPr="00BD00A9">
        <w:rPr>
          <w:rFonts w:ascii="Times New Roman" w:hAnsi="Times New Roman"/>
          <w:noProof/>
          <w:sz w:val="24"/>
          <w:szCs w:val="24"/>
          <w:lang w:val="en-IE"/>
        </w:rPr>
        <w:t xml:space="preserve"> According to the 2023 Eurobarometer on </w:t>
      </w:r>
      <w:r w:rsidR="00E03297" w:rsidRPr="00BD00A9">
        <w:rPr>
          <w:rFonts w:ascii="Times New Roman" w:hAnsi="Times New Roman"/>
          <w:noProof/>
          <w:sz w:val="24"/>
          <w:szCs w:val="24"/>
          <w:lang w:val="en-IE"/>
        </w:rPr>
        <w:t>c</w:t>
      </w:r>
      <w:r w:rsidRPr="00BD00A9">
        <w:rPr>
          <w:rFonts w:ascii="Times New Roman" w:hAnsi="Times New Roman"/>
          <w:noProof/>
          <w:sz w:val="24"/>
          <w:szCs w:val="24"/>
          <w:lang w:val="en-IE"/>
        </w:rPr>
        <w:t xml:space="preserve">itizenship and </w:t>
      </w:r>
      <w:r w:rsidR="00E03297" w:rsidRPr="00BD00A9">
        <w:rPr>
          <w:rFonts w:ascii="Times New Roman" w:hAnsi="Times New Roman"/>
          <w:noProof/>
          <w:sz w:val="24"/>
          <w:szCs w:val="24"/>
          <w:lang w:val="en-IE"/>
        </w:rPr>
        <w:t>d</w:t>
      </w:r>
      <w:r w:rsidRPr="00BD00A9">
        <w:rPr>
          <w:rFonts w:ascii="Times New Roman" w:hAnsi="Times New Roman"/>
          <w:noProof/>
          <w:sz w:val="24"/>
          <w:szCs w:val="24"/>
          <w:lang w:val="en-IE"/>
        </w:rPr>
        <w:t>emocracy, about two</w:t>
      </w:r>
      <w:r w:rsidR="00E03297" w:rsidRPr="00BD00A9">
        <w:rPr>
          <w:rFonts w:ascii="Times New Roman" w:hAnsi="Times New Roman"/>
          <w:noProof/>
          <w:sz w:val="24"/>
          <w:szCs w:val="24"/>
          <w:lang w:val="en-IE"/>
        </w:rPr>
        <w:t xml:space="preserve"> </w:t>
      </w:r>
      <w:r w:rsidRPr="00BD00A9">
        <w:rPr>
          <w:rFonts w:ascii="Times New Roman" w:hAnsi="Times New Roman"/>
          <w:noProof/>
          <w:sz w:val="24"/>
          <w:szCs w:val="24"/>
          <w:lang w:val="en-IE"/>
        </w:rPr>
        <w:t xml:space="preserve">thirds of EU citizens (67%) correctly identify that a citizen of the EU living in their country has the right to vote or stand as a candidate in </w:t>
      </w:r>
      <w:r w:rsidR="00875012" w:rsidRPr="00BD00A9">
        <w:rPr>
          <w:rFonts w:ascii="Times New Roman" w:hAnsi="Times New Roman"/>
          <w:noProof/>
          <w:sz w:val="24"/>
          <w:szCs w:val="24"/>
          <w:lang w:val="en-IE"/>
        </w:rPr>
        <w:t xml:space="preserve">elections to the </w:t>
      </w:r>
      <w:r w:rsidRPr="00BD00A9">
        <w:rPr>
          <w:rFonts w:ascii="Times New Roman" w:hAnsi="Times New Roman"/>
          <w:noProof/>
          <w:sz w:val="24"/>
          <w:szCs w:val="24"/>
          <w:lang w:val="en-IE"/>
        </w:rPr>
        <w:t xml:space="preserve">European Parliament. An appreciably </w:t>
      </w:r>
      <w:r w:rsidR="00E03297" w:rsidRPr="00BD00A9">
        <w:rPr>
          <w:rFonts w:ascii="Times New Roman" w:hAnsi="Times New Roman"/>
          <w:noProof/>
          <w:sz w:val="24"/>
          <w:szCs w:val="24"/>
          <w:lang w:val="en-IE"/>
        </w:rPr>
        <w:t>smaller</w:t>
      </w:r>
      <w:r w:rsidRPr="00BD00A9">
        <w:rPr>
          <w:rFonts w:ascii="Times New Roman" w:hAnsi="Times New Roman"/>
          <w:noProof/>
          <w:sz w:val="24"/>
          <w:szCs w:val="24"/>
          <w:lang w:val="en-IE"/>
        </w:rPr>
        <w:t xml:space="preserve"> majority </w:t>
      </w:r>
      <w:r w:rsidR="3825918A" w:rsidRPr="00BD00A9">
        <w:rPr>
          <w:rFonts w:ascii="Times New Roman" w:hAnsi="Times New Roman"/>
          <w:noProof/>
          <w:sz w:val="24"/>
          <w:szCs w:val="24"/>
          <w:lang w:val="en-IE"/>
        </w:rPr>
        <w:t>(</w:t>
      </w:r>
      <w:r w:rsidRPr="00BD00A9">
        <w:rPr>
          <w:rFonts w:ascii="Times New Roman" w:hAnsi="Times New Roman"/>
          <w:noProof/>
          <w:sz w:val="24"/>
          <w:szCs w:val="24"/>
          <w:lang w:val="en-IE"/>
        </w:rPr>
        <w:t>55%</w:t>
      </w:r>
      <w:r w:rsidR="56E9CB43" w:rsidRPr="00BD00A9">
        <w:rPr>
          <w:rFonts w:ascii="Times New Roman" w:hAnsi="Times New Roman"/>
          <w:noProof/>
          <w:sz w:val="24"/>
          <w:szCs w:val="24"/>
          <w:lang w:val="en-IE"/>
        </w:rPr>
        <w:t>)</w:t>
      </w:r>
      <w:r w:rsidRPr="00BD00A9">
        <w:rPr>
          <w:rFonts w:ascii="Times New Roman" w:hAnsi="Times New Roman"/>
          <w:noProof/>
          <w:sz w:val="24"/>
          <w:szCs w:val="24"/>
          <w:lang w:val="en-IE"/>
        </w:rPr>
        <w:t xml:space="preserve"> correctly identify that such a citizen has the right to vote or stand as a candidate in municipal elections.</w:t>
      </w:r>
    </w:p>
    <w:p w14:paraId="75D9908C" w14:textId="7613F8E0" w:rsidR="00DD25C9" w:rsidRPr="00BD00A9" w:rsidRDefault="00DD25C9" w:rsidP="00DD25C9">
      <w:pPr>
        <w:spacing w:after="240" w:line="276" w:lineRule="auto"/>
        <w:jc w:val="both"/>
        <w:rPr>
          <w:rFonts w:ascii="Times New Roman" w:eastAsiaTheme="minorEastAsia" w:hAnsi="Times New Roman"/>
          <w:noProof/>
          <w:sz w:val="24"/>
          <w:szCs w:val="24"/>
          <w:lang w:val="en-IE" w:eastAsia="zh-CN"/>
        </w:rPr>
      </w:pPr>
      <w:r w:rsidRPr="00BD00A9">
        <w:rPr>
          <w:rFonts w:ascii="Times New Roman" w:eastAsiaTheme="minorEastAsia" w:hAnsi="Times New Roman"/>
          <w:noProof/>
          <w:sz w:val="24"/>
          <w:szCs w:val="24"/>
          <w:lang w:val="en-IE" w:eastAsia="zh-CN"/>
        </w:rPr>
        <w:t xml:space="preserve">During the reporting period, the Commission replied to </w:t>
      </w:r>
      <w:r w:rsidR="000A5F3E" w:rsidRPr="00BD00A9">
        <w:rPr>
          <w:rFonts w:ascii="Times New Roman" w:eastAsiaTheme="minorEastAsia" w:hAnsi="Times New Roman"/>
          <w:noProof/>
          <w:sz w:val="24"/>
          <w:szCs w:val="24"/>
          <w:lang w:val="en-IE" w:eastAsia="zh-CN"/>
        </w:rPr>
        <w:t>2</w:t>
      </w:r>
      <w:r w:rsidR="000B119A" w:rsidRPr="00BD00A9">
        <w:rPr>
          <w:rFonts w:ascii="Times New Roman" w:eastAsiaTheme="minorEastAsia" w:hAnsi="Times New Roman"/>
          <w:noProof/>
          <w:sz w:val="24"/>
          <w:szCs w:val="24"/>
          <w:lang w:val="en-IE" w:eastAsia="zh-CN"/>
        </w:rPr>
        <w:t>0</w:t>
      </w:r>
      <w:r w:rsidRPr="00BD00A9">
        <w:rPr>
          <w:rFonts w:ascii="Times New Roman" w:eastAsiaTheme="minorEastAsia" w:hAnsi="Times New Roman"/>
          <w:noProof/>
          <w:sz w:val="24"/>
          <w:szCs w:val="24"/>
          <w:lang w:val="en-IE" w:eastAsia="zh-CN"/>
        </w:rPr>
        <w:t xml:space="preserve"> complaints</w:t>
      </w:r>
      <w:r w:rsidR="00F15E9E" w:rsidRPr="00BD00A9">
        <w:rPr>
          <w:rFonts w:ascii="Times New Roman" w:eastAsiaTheme="minorEastAsia" w:hAnsi="Times New Roman"/>
          <w:noProof/>
          <w:sz w:val="24"/>
          <w:szCs w:val="24"/>
          <w:lang w:val="en-IE" w:eastAsia="zh-CN"/>
        </w:rPr>
        <w:t xml:space="preserve"> and </w:t>
      </w:r>
      <w:r w:rsidR="003B46F1" w:rsidRPr="00BD00A9">
        <w:rPr>
          <w:rFonts w:ascii="Times New Roman" w:eastAsiaTheme="minorEastAsia" w:hAnsi="Times New Roman"/>
          <w:noProof/>
          <w:sz w:val="24"/>
          <w:szCs w:val="24"/>
          <w:lang w:val="en-IE" w:eastAsia="zh-CN"/>
        </w:rPr>
        <w:t>more than 220</w:t>
      </w:r>
      <w:r w:rsidRPr="00BD00A9">
        <w:rPr>
          <w:rFonts w:ascii="Times New Roman" w:eastAsiaTheme="minorEastAsia" w:hAnsi="Times New Roman"/>
          <w:noProof/>
          <w:sz w:val="24"/>
          <w:szCs w:val="24"/>
          <w:lang w:val="en-IE" w:eastAsia="zh-CN"/>
        </w:rPr>
        <w:t xml:space="preserve"> letters/individual queries</w:t>
      </w:r>
      <w:r w:rsidR="00F15E9E" w:rsidRPr="00BD00A9">
        <w:rPr>
          <w:rFonts w:ascii="Times New Roman" w:eastAsiaTheme="minorEastAsia" w:hAnsi="Times New Roman"/>
          <w:noProof/>
          <w:sz w:val="24"/>
          <w:szCs w:val="24"/>
          <w:lang w:val="en-IE" w:eastAsia="zh-CN"/>
        </w:rPr>
        <w:t xml:space="preserve">, and </w:t>
      </w:r>
      <w:r w:rsidR="000A5F3E" w:rsidRPr="00BD00A9">
        <w:rPr>
          <w:rFonts w:ascii="Times New Roman" w:eastAsiaTheme="minorEastAsia" w:hAnsi="Times New Roman"/>
          <w:noProof/>
          <w:sz w:val="24"/>
          <w:szCs w:val="24"/>
          <w:lang w:val="en-IE" w:eastAsia="zh-CN"/>
        </w:rPr>
        <w:t>31</w:t>
      </w:r>
      <w:r w:rsidR="00F15E9E" w:rsidRPr="00BD00A9">
        <w:rPr>
          <w:rFonts w:ascii="Times New Roman" w:eastAsiaTheme="minorEastAsia" w:hAnsi="Times New Roman"/>
          <w:noProof/>
          <w:sz w:val="24"/>
          <w:szCs w:val="24"/>
          <w:lang w:val="en-IE" w:eastAsia="zh-CN"/>
        </w:rPr>
        <w:t xml:space="preserve"> </w:t>
      </w:r>
      <w:r w:rsidRPr="00BD00A9">
        <w:rPr>
          <w:rFonts w:ascii="Times New Roman" w:eastAsiaTheme="minorEastAsia" w:hAnsi="Times New Roman"/>
          <w:noProof/>
          <w:sz w:val="24"/>
          <w:szCs w:val="24"/>
          <w:lang w:val="en-IE" w:eastAsia="zh-CN"/>
        </w:rPr>
        <w:t xml:space="preserve">questions and </w:t>
      </w:r>
      <w:r w:rsidR="00E03297" w:rsidRPr="00BD00A9">
        <w:rPr>
          <w:rFonts w:ascii="Times New Roman" w:eastAsiaTheme="minorEastAsia" w:hAnsi="Times New Roman"/>
          <w:noProof/>
          <w:sz w:val="24"/>
          <w:szCs w:val="24"/>
          <w:lang w:val="en-IE" w:eastAsia="zh-CN"/>
        </w:rPr>
        <w:t>five</w:t>
      </w:r>
      <w:r w:rsidRPr="00BD00A9">
        <w:rPr>
          <w:rFonts w:ascii="Times New Roman" w:eastAsiaTheme="minorEastAsia" w:hAnsi="Times New Roman"/>
          <w:noProof/>
          <w:sz w:val="24"/>
          <w:szCs w:val="24"/>
          <w:lang w:val="en-IE" w:eastAsia="zh-CN"/>
        </w:rPr>
        <w:t xml:space="preserve"> petitions from the European Parliament on th</w:t>
      </w:r>
      <w:r w:rsidR="00F15E9E" w:rsidRPr="00BD00A9">
        <w:rPr>
          <w:rFonts w:ascii="Times New Roman" w:eastAsiaTheme="minorEastAsia" w:hAnsi="Times New Roman"/>
          <w:noProof/>
          <w:sz w:val="24"/>
          <w:szCs w:val="24"/>
          <w:lang w:val="en-IE" w:eastAsia="zh-CN"/>
        </w:rPr>
        <w:t>ese rights</w:t>
      </w:r>
      <w:r w:rsidRPr="00BD00A9">
        <w:rPr>
          <w:rFonts w:ascii="Times New Roman" w:eastAsiaTheme="minorEastAsia" w:hAnsi="Times New Roman"/>
          <w:noProof/>
          <w:sz w:val="24"/>
          <w:szCs w:val="24"/>
          <w:lang w:val="en-IE" w:eastAsia="zh-CN"/>
        </w:rPr>
        <w:t>.</w:t>
      </w:r>
      <w:r w:rsidR="00F15E9E" w:rsidRPr="00BD00A9">
        <w:rPr>
          <w:rFonts w:ascii="Times New Roman" w:eastAsiaTheme="minorEastAsia" w:hAnsi="Times New Roman"/>
          <w:noProof/>
          <w:sz w:val="24"/>
          <w:szCs w:val="24"/>
          <w:lang w:val="en-IE" w:eastAsia="zh-CN"/>
        </w:rPr>
        <w:t xml:space="preserve"> Th</w:t>
      </w:r>
      <w:r w:rsidR="00E03297" w:rsidRPr="00BD00A9">
        <w:rPr>
          <w:rFonts w:ascii="Times New Roman" w:eastAsiaTheme="minorEastAsia" w:hAnsi="Times New Roman"/>
          <w:noProof/>
          <w:sz w:val="24"/>
          <w:szCs w:val="24"/>
          <w:lang w:val="en-IE" w:eastAsia="zh-CN"/>
        </w:rPr>
        <w:t>ese</w:t>
      </w:r>
      <w:r w:rsidR="00F15E9E" w:rsidRPr="00BD00A9">
        <w:rPr>
          <w:rFonts w:ascii="Times New Roman" w:eastAsiaTheme="minorEastAsia" w:hAnsi="Times New Roman"/>
          <w:noProof/>
          <w:sz w:val="24"/>
          <w:szCs w:val="24"/>
          <w:lang w:val="en-IE" w:eastAsia="zh-CN"/>
        </w:rPr>
        <w:t xml:space="preserve"> included questions on the electoral rights of persons with disabilities, electoral rolls </w:t>
      </w:r>
      <w:r w:rsidR="00E03297" w:rsidRPr="00BD00A9">
        <w:rPr>
          <w:rFonts w:ascii="Times New Roman" w:eastAsiaTheme="minorEastAsia" w:hAnsi="Times New Roman"/>
          <w:noProof/>
          <w:sz w:val="24"/>
          <w:szCs w:val="24"/>
          <w:lang w:val="en-IE" w:eastAsia="zh-CN"/>
        </w:rPr>
        <w:t>and</w:t>
      </w:r>
      <w:r w:rsidR="00F15E9E" w:rsidRPr="00BD00A9">
        <w:rPr>
          <w:rFonts w:ascii="Times New Roman" w:eastAsiaTheme="minorEastAsia" w:hAnsi="Times New Roman"/>
          <w:noProof/>
          <w:sz w:val="24"/>
          <w:szCs w:val="24"/>
          <w:lang w:val="en-IE" w:eastAsia="zh-CN"/>
        </w:rPr>
        <w:t xml:space="preserve"> electronic voting. </w:t>
      </w:r>
      <w:r w:rsidR="000A5F3E" w:rsidRPr="00BD00A9">
        <w:rPr>
          <w:rFonts w:ascii="Times New Roman" w:eastAsiaTheme="minorEastAsia" w:hAnsi="Times New Roman"/>
          <w:noProof/>
          <w:sz w:val="24"/>
          <w:szCs w:val="24"/>
          <w:lang w:val="en-IE" w:eastAsia="zh-CN"/>
        </w:rPr>
        <w:t>Some of the questions also concerned</w:t>
      </w:r>
      <w:r w:rsidR="00F15E9E" w:rsidRPr="00BD00A9">
        <w:rPr>
          <w:rFonts w:ascii="Times New Roman" w:eastAsiaTheme="minorEastAsia" w:hAnsi="Times New Roman"/>
          <w:noProof/>
          <w:sz w:val="24"/>
          <w:szCs w:val="24"/>
          <w:lang w:val="en-IE" w:eastAsia="zh-CN"/>
        </w:rPr>
        <w:t xml:space="preserve"> the broader topic of democratic participation, for example relating to </w:t>
      </w:r>
      <w:r w:rsidR="00C41842" w:rsidRPr="00BD00A9">
        <w:rPr>
          <w:rFonts w:ascii="Times New Roman" w:eastAsiaTheme="minorEastAsia" w:hAnsi="Times New Roman"/>
          <w:noProof/>
          <w:sz w:val="24"/>
          <w:szCs w:val="24"/>
          <w:lang w:val="en-IE" w:eastAsia="zh-CN"/>
        </w:rPr>
        <w:t xml:space="preserve">electoral fraud, </w:t>
      </w:r>
      <w:r w:rsidR="00F15E9E" w:rsidRPr="00BD00A9">
        <w:rPr>
          <w:rFonts w:ascii="Times New Roman" w:eastAsiaTheme="minorEastAsia" w:hAnsi="Times New Roman"/>
          <w:noProof/>
          <w:sz w:val="24"/>
          <w:szCs w:val="24"/>
          <w:lang w:val="en-IE" w:eastAsia="zh-CN"/>
        </w:rPr>
        <w:t>political advertising, foreign interference or the funding of political parties.</w:t>
      </w:r>
    </w:p>
    <w:p w14:paraId="6FA429F5" w14:textId="5B8E56E8" w:rsidR="00D855E4" w:rsidRPr="00BD00A9" w:rsidRDefault="00D855E4" w:rsidP="00D855E4">
      <w:pPr>
        <w:pStyle w:val="Heading2"/>
      </w:pPr>
      <w:bookmarkStart w:id="62" w:name="_Toc150854721"/>
      <w:bookmarkStart w:id="63" w:name="_Toc152502502"/>
      <w:r w:rsidRPr="00BD00A9">
        <w:t>Policy developments</w:t>
      </w:r>
      <w:bookmarkEnd w:id="62"/>
      <w:bookmarkEnd w:id="63"/>
    </w:p>
    <w:p w14:paraId="472E7094" w14:textId="773FB257" w:rsidR="00D855E4" w:rsidRPr="00BD00A9" w:rsidRDefault="00D855E4" w:rsidP="00D855E4">
      <w:pPr>
        <w:pStyle w:val="Heading3"/>
        <w:rPr>
          <w:noProof/>
        </w:rPr>
      </w:pPr>
      <w:bookmarkStart w:id="64" w:name="_Toc150854722"/>
      <w:bookmarkStart w:id="65" w:name="_Toc152502503"/>
      <w:r w:rsidRPr="00BD00A9">
        <w:rPr>
          <w:noProof/>
        </w:rPr>
        <w:t xml:space="preserve">Right to vote and stand as a candidate in municipal and </w:t>
      </w:r>
      <w:r w:rsidR="00875012" w:rsidRPr="00BD00A9">
        <w:rPr>
          <w:noProof/>
        </w:rPr>
        <w:t xml:space="preserve">elections to the </w:t>
      </w:r>
      <w:r w:rsidRPr="00BD00A9">
        <w:rPr>
          <w:noProof/>
        </w:rPr>
        <w:t>European Parliament</w:t>
      </w:r>
      <w:bookmarkEnd w:id="64"/>
      <w:bookmarkEnd w:id="65"/>
    </w:p>
    <w:p w14:paraId="69CDC9F4" w14:textId="4EB0AE78" w:rsidR="008379E0" w:rsidRPr="00BD00A9" w:rsidRDefault="36E0999D" w:rsidP="4FAC546D">
      <w:pPr>
        <w:spacing w:after="240" w:line="276" w:lineRule="auto"/>
        <w:jc w:val="both"/>
        <w:rPr>
          <w:rFonts w:ascii="Times New Roman" w:eastAsiaTheme="minorEastAsia" w:hAnsi="Times New Roman"/>
          <w:noProof/>
          <w:sz w:val="24"/>
          <w:szCs w:val="24"/>
          <w:lang w:val="en-IE" w:eastAsia="zh-CN"/>
        </w:rPr>
      </w:pPr>
      <w:r w:rsidRPr="00BD00A9">
        <w:rPr>
          <w:rFonts w:ascii="Times New Roman" w:eastAsiaTheme="minorEastAsia" w:hAnsi="Times New Roman"/>
          <w:noProof/>
          <w:sz w:val="24"/>
          <w:szCs w:val="24"/>
          <w:lang w:val="en-IE" w:eastAsia="zh-CN"/>
        </w:rPr>
        <w:t xml:space="preserve">A growing </w:t>
      </w:r>
      <w:r w:rsidR="00E03297" w:rsidRPr="00BD00A9">
        <w:rPr>
          <w:rFonts w:ascii="Times New Roman" w:eastAsiaTheme="minorEastAsia" w:hAnsi="Times New Roman"/>
          <w:noProof/>
          <w:sz w:val="24"/>
          <w:szCs w:val="24"/>
          <w:lang w:val="en-IE" w:eastAsia="zh-CN"/>
        </w:rPr>
        <w:t>number</w:t>
      </w:r>
      <w:r w:rsidRPr="00BD00A9">
        <w:rPr>
          <w:rFonts w:ascii="Times New Roman" w:eastAsiaTheme="minorEastAsia" w:hAnsi="Times New Roman"/>
          <w:noProof/>
          <w:sz w:val="24"/>
          <w:szCs w:val="24"/>
          <w:lang w:val="en-IE" w:eastAsia="zh-CN"/>
        </w:rPr>
        <w:t xml:space="preserve"> of citizens entitled to vote and stand as candidates in </w:t>
      </w:r>
      <w:r w:rsidR="00875012" w:rsidRPr="00BD00A9">
        <w:rPr>
          <w:rFonts w:ascii="Times New Roman" w:eastAsiaTheme="minorEastAsia" w:hAnsi="Times New Roman"/>
          <w:noProof/>
          <w:sz w:val="24"/>
          <w:szCs w:val="24"/>
          <w:lang w:val="en-IE" w:eastAsia="zh-CN"/>
        </w:rPr>
        <w:t xml:space="preserve">elections to the </w:t>
      </w:r>
      <w:r w:rsidRPr="00BD00A9">
        <w:rPr>
          <w:rFonts w:ascii="Times New Roman" w:eastAsiaTheme="minorEastAsia" w:hAnsi="Times New Roman"/>
          <w:noProof/>
          <w:sz w:val="24"/>
          <w:szCs w:val="24"/>
          <w:lang w:val="en-IE" w:eastAsia="zh-CN"/>
        </w:rPr>
        <w:t xml:space="preserve">European Parliament are </w:t>
      </w:r>
      <w:r w:rsidR="00E03297" w:rsidRPr="00BD00A9">
        <w:rPr>
          <w:rFonts w:ascii="Times New Roman" w:eastAsiaTheme="minorEastAsia" w:hAnsi="Times New Roman"/>
          <w:noProof/>
          <w:sz w:val="24"/>
          <w:szCs w:val="24"/>
          <w:lang w:val="en-IE" w:eastAsia="zh-CN"/>
        </w:rPr>
        <w:t>‘</w:t>
      </w:r>
      <w:r w:rsidRPr="00BD00A9">
        <w:rPr>
          <w:rFonts w:ascii="Times New Roman" w:eastAsiaTheme="minorEastAsia" w:hAnsi="Times New Roman"/>
          <w:noProof/>
          <w:sz w:val="24"/>
          <w:szCs w:val="24"/>
          <w:lang w:val="en-IE" w:eastAsia="zh-CN"/>
        </w:rPr>
        <w:t>mobile</w:t>
      </w:r>
      <w:r w:rsidR="00E03297" w:rsidRPr="00BD00A9">
        <w:rPr>
          <w:rFonts w:ascii="Times New Roman" w:eastAsiaTheme="minorEastAsia" w:hAnsi="Times New Roman"/>
          <w:noProof/>
          <w:sz w:val="24"/>
          <w:szCs w:val="24"/>
          <w:lang w:val="en-IE" w:eastAsia="zh-CN"/>
        </w:rPr>
        <w:t>’</w:t>
      </w:r>
      <w:r w:rsidRPr="00BD00A9">
        <w:rPr>
          <w:rFonts w:ascii="Times New Roman" w:eastAsiaTheme="minorEastAsia" w:hAnsi="Times New Roman"/>
          <w:noProof/>
          <w:sz w:val="24"/>
          <w:szCs w:val="24"/>
          <w:lang w:val="en-IE" w:eastAsia="zh-CN"/>
        </w:rPr>
        <w:t xml:space="preserve"> EU citizens: citizens who have moved to live, work or study in another Member State. </w:t>
      </w:r>
      <w:r w:rsidR="325C1A8D" w:rsidRPr="00BD00A9">
        <w:rPr>
          <w:rFonts w:ascii="Times New Roman" w:eastAsiaTheme="minorEastAsia" w:hAnsi="Times New Roman"/>
          <w:noProof/>
          <w:sz w:val="24"/>
          <w:szCs w:val="24"/>
          <w:lang w:val="en-IE" w:eastAsia="zh-CN"/>
        </w:rPr>
        <w:t>It is important to ensure that mobile EU citizens can fully exercise their EU citizenship rights</w:t>
      </w:r>
      <w:r w:rsidR="5906C8F0" w:rsidRPr="00BD00A9">
        <w:rPr>
          <w:rFonts w:ascii="Times New Roman" w:eastAsiaTheme="minorEastAsia" w:hAnsi="Times New Roman"/>
          <w:noProof/>
          <w:sz w:val="24"/>
          <w:szCs w:val="24"/>
          <w:lang w:val="en-IE" w:eastAsia="zh-CN"/>
        </w:rPr>
        <w:t>, in particular</w:t>
      </w:r>
      <w:r w:rsidR="325C1A8D" w:rsidRPr="00BD00A9">
        <w:rPr>
          <w:rFonts w:ascii="Times New Roman" w:eastAsiaTheme="minorEastAsia" w:hAnsi="Times New Roman"/>
          <w:noProof/>
          <w:sz w:val="24"/>
          <w:szCs w:val="24"/>
          <w:lang w:val="en-IE" w:eastAsia="zh-CN"/>
        </w:rPr>
        <w:t xml:space="preserve"> in the context of the next elections to the European Parliament</w:t>
      </w:r>
      <w:r w:rsidR="5906C8F0" w:rsidRPr="00BD00A9">
        <w:rPr>
          <w:rFonts w:ascii="Times New Roman" w:eastAsiaTheme="minorEastAsia" w:hAnsi="Times New Roman"/>
          <w:noProof/>
          <w:sz w:val="24"/>
          <w:szCs w:val="24"/>
          <w:lang w:val="en-IE" w:eastAsia="zh-CN"/>
        </w:rPr>
        <w:t xml:space="preserve"> in 2024</w:t>
      </w:r>
      <w:r w:rsidR="325C1A8D" w:rsidRPr="00BD00A9">
        <w:rPr>
          <w:rFonts w:ascii="Times New Roman" w:eastAsiaTheme="minorEastAsia" w:hAnsi="Times New Roman"/>
          <w:noProof/>
          <w:sz w:val="24"/>
          <w:szCs w:val="24"/>
          <w:lang w:val="en-IE" w:eastAsia="zh-CN"/>
        </w:rPr>
        <w:t xml:space="preserve">. </w:t>
      </w:r>
    </w:p>
    <w:p w14:paraId="6CE05187" w14:textId="4BA7F41D" w:rsidR="008379E0" w:rsidRPr="00BD00A9" w:rsidRDefault="325C1A8D" w:rsidP="4FAC546D">
      <w:pPr>
        <w:spacing w:after="240" w:line="276" w:lineRule="auto"/>
        <w:jc w:val="both"/>
        <w:rPr>
          <w:rFonts w:ascii="Times New Roman" w:eastAsiaTheme="minorEastAsia" w:hAnsi="Times New Roman"/>
          <w:noProof/>
          <w:sz w:val="24"/>
          <w:szCs w:val="24"/>
          <w:lang w:val="en-IE" w:eastAsia="zh-CN"/>
        </w:rPr>
      </w:pPr>
      <w:r w:rsidRPr="00BD00A9">
        <w:rPr>
          <w:rFonts w:ascii="Times New Roman" w:eastAsiaTheme="minorEastAsia" w:hAnsi="Times New Roman"/>
          <w:noProof/>
          <w:sz w:val="24"/>
          <w:szCs w:val="24"/>
          <w:lang w:val="en-IE" w:eastAsia="zh-CN"/>
        </w:rPr>
        <w:t xml:space="preserve">On 25 November 2021, the Commission adopted a </w:t>
      </w:r>
      <w:r w:rsidRPr="00BD00A9">
        <w:rPr>
          <w:rFonts w:ascii="Times New Roman" w:eastAsiaTheme="minorEastAsia" w:hAnsi="Times New Roman"/>
          <w:b/>
          <w:bCs/>
          <w:noProof/>
          <w:sz w:val="24"/>
          <w:szCs w:val="24"/>
          <w:lang w:val="en-IE" w:eastAsia="zh-CN"/>
        </w:rPr>
        <w:t>package of measures to reinforce democracy and protect the integrity of elections</w:t>
      </w:r>
      <w:r w:rsidR="5906C8F0" w:rsidRPr="00BD00A9">
        <w:rPr>
          <w:rFonts w:ascii="Times New Roman" w:eastAsiaTheme="minorEastAsia" w:hAnsi="Times New Roman"/>
          <w:b/>
          <w:bCs/>
          <w:noProof/>
          <w:sz w:val="24"/>
          <w:szCs w:val="24"/>
          <w:lang w:val="en-IE" w:eastAsia="zh-CN"/>
        </w:rPr>
        <w:t xml:space="preserve"> </w:t>
      </w:r>
      <w:r w:rsidR="5906C8F0" w:rsidRPr="00BD00A9">
        <w:rPr>
          <w:rFonts w:ascii="Times New Roman" w:eastAsiaTheme="minorEastAsia" w:hAnsi="Times New Roman"/>
          <w:i/>
          <w:iCs/>
          <w:noProof/>
          <w:sz w:val="24"/>
          <w:szCs w:val="24"/>
          <w:lang w:val="en-IE" w:eastAsia="zh-CN"/>
        </w:rPr>
        <w:t xml:space="preserve">(see also </w:t>
      </w:r>
      <w:r w:rsidR="00E03297" w:rsidRPr="00BD00A9">
        <w:rPr>
          <w:rFonts w:ascii="Times New Roman" w:eastAsiaTheme="minorEastAsia" w:hAnsi="Times New Roman"/>
          <w:i/>
          <w:iCs/>
          <w:noProof/>
          <w:sz w:val="24"/>
          <w:szCs w:val="24"/>
          <w:lang w:val="en-IE" w:eastAsia="zh-CN"/>
        </w:rPr>
        <w:t>S</w:t>
      </w:r>
      <w:r w:rsidR="5906C8F0" w:rsidRPr="00BD00A9">
        <w:rPr>
          <w:rFonts w:ascii="Times New Roman" w:eastAsiaTheme="minorEastAsia" w:hAnsi="Times New Roman"/>
          <w:i/>
          <w:iCs/>
          <w:noProof/>
          <w:sz w:val="24"/>
          <w:szCs w:val="24"/>
          <w:lang w:val="en-IE" w:eastAsia="zh-CN"/>
        </w:rPr>
        <w:t xml:space="preserve">ection </w:t>
      </w:r>
      <w:r w:rsidR="002E1AD5" w:rsidRPr="00BD00A9">
        <w:rPr>
          <w:rFonts w:ascii="Times New Roman" w:eastAsiaTheme="minorEastAsia" w:hAnsi="Times New Roman"/>
          <w:i/>
          <w:iCs/>
          <w:noProof/>
          <w:sz w:val="24"/>
          <w:szCs w:val="24"/>
          <w:lang w:val="en-IE" w:eastAsia="zh-CN"/>
        </w:rPr>
        <w:t>7</w:t>
      </w:r>
      <w:r w:rsidR="5906C8F0" w:rsidRPr="00BD00A9">
        <w:rPr>
          <w:rFonts w:ascii="Times New Roman" w:eastAsiaTheme="minorEastAsia" w:hAnsi="Times New Roman"/>
          <w:i/>
          <w:iCs/>
          <w:noProof/>
          <w:sz w:val="24"/>
          <w:szCs w:val="24"/>
          <w:lang w:val="en-IE" w:eastAsia="zh-CN"/>
        </w:rPr>
        <w:t>.2.2)</w:t>
      </w:r>
      <w:r w:rsidRPr="00BD00A9">
        <w:rPr>
          <w:rFonts w:ascii="Times New Roman" w:eastAsiaTheme="minorEastAsia" w:hAnsi="Times New Roman"/>
          <w:i/>
          <w:iCs/>
          <w:noProof/>
          <w:sz w:val="24"/>
          <w:szCs w:val="24"/>
          <w:lang w:val="en-IE" w:eastAsia="zh-CN"/>
        </w:rPr>
        <w:t xml:space="preserve">. </w:t>
      </w:r>
      <w:r w:rsidRPr="00BD00A9">
        <w:rPr>
          <w:rFonts w:ascii="Times New Roman" w:eastAsiaTheme="minorEastAsia" w:hAnsi="Times New Roman"/>
          <w:noProof/>
          <w:sz w:val="24"/>
          <w:szCs w:val="24"/>
          <w:lang w:val="en-IE" w:eastAsia="zh-CN"/>
        </w:rPr>
        <w:t xml:space="preserve">The package includes </w:t>
      </w:r>
      <w:r w:rsidRPr="00BD00A9">
        <w:rPr>
          <w:rFonts w:ascii="Times New Roman" w:eastAsiaTheme="minorEastAsia" w:hAnsi="Times New Roman"/>
          <w:b/>
          <w:bCs/>
          <w:noProof/>
          <w:sz w:val="24"/>
          <w:szCs w:val="24"/>
          <w:lang w:val="en-IE" w:eastAsia="zh-CN"/>
        </w:rPr>
        <w:t xml:space="preserve">two legislative proposals to recast the </w:t>
      </w:r>
      <w:r w:rsidR="00E03297" w:rsidRPr="00BD00A9">
        <w:rPr>
          <w:rFonts w:ascii="Times New Roman" w:eastAsiaTheme="minorEastAsia" w:hAnsi="Times New Roman"/>
          <w:b/>
          <w:bCs/>
          <w:noProof/>
          <w:sz w:val="24"/>
          <w:szCs w:val="24"/>
          <w:lang w:val="en-IE" w:eastAsia="zh-CN"/>
        </w:rPr>
        <w:t>D</w:t>
      </w:r>
      <w:r w:rsidRPr="00BD00A9">
        <w:rPr>
          <w:rFonts w:ascii="Times New Roman" w:eastAsiaTheme="minorEastAsia" w:hAnsi="Times New Roman"/>
          <w:b/>
          <w:bCs/>
          <w:noProof/>
          <w:sz w:val="24"/>
          <w:szCs w:val="24"/>
          <w:lang w:val="en-IE" w:eastAsia="zh-CN"/>
        </w:rPr>
        <w:t>irectives</w:t>
      </w:r>
      <w:r w:rsidR="008379E0" w:rsidRPr="00BD00A9">
        <w:rPr>
          <w:rStyle w:val="FootnoteReference"/>
          <w:rFonts w:ascii="Times New Roman" w:eastAsiaTheme="minorEastAsia" w:hAnsi="Times New Roman"/>
          <w:noProof/>
          <w:sz w:val="24"/>
          <w:szCs w:val="24"/>
          <w:lang w:val="en-IE" w:eastAsia="zh-CN"/>
        </w:rPr>
        <w:footnoteReference w:id="108"/>
      </w:r>
      <w:r w:rsidRPr="00BD00A9">
        <w:rPr>
          <w:rFonts w:ascii="Times New Roman" w:eastAsiaTheme="minorEastAsia" w:hAnsi="Times New Roman"/>
          <w:noProof/>
          <w:sz w:val="24"/>
          <w:szCs w:val="24"/>
          <w:lang w:val="en-IE" w:eastAsia="zh-CN"/>
        </w:rPr>
        <w:t xml:space="preserve"> on the right to vote and stand as candidates </w:t>
      </w:r>
      <w:r w:rsidR="00246EE6" w:rsidRPr="00BD00A9">
        <w:rPr>
          <w:rFonts w:ascii="Times New Roman" w:eastAsiaTheme="minorEastAsia" w:hAnsi="Times New Roman"/>
          <w:noProof/>
          <w:sz w:val="24"/>
          <w:szCs w:val="24"/>
          <w:lang w:val="en-IE" w:eastAsia="zh-CN"/>
        </w:rPr>
        <w:t xml:space="preserve">in </w:t>
      </w:r>
      <w:r w:rsidR="00875012" w:rsidRPr="00BD00A9">
        <w:rPr>
          <w:rFonts w:ascii="Times New Roman" w:eastAsiaTheme="minorEastAsia" w:hAnsi="Times New Roman"/>
          <w:noProof/>
          <w:sz w:val="24"/>
          <w:szCs w:val="24"/>
          <w:lang w:val="en-IE" w:eastAsia="zh-CN"/>
        </w:rPr>
        <w:t xml:space="preserve">elections to the </w:t>
      </w:r>
      <w:r w:rsidR="00E03297" w:rsidRPr="00BD00A9">
        <w:rPr>
          <w:rFonts w:ascii="Times New Roman" w:eastAsiaTheme="minorEastAsia" w:hAnsi="Times New Roman"/>
          <w:noProof/>
          <w:sz w:val="24"/>
          <w:szCs w:val="24"/>
          <w:lang w:val="en-IE" w:eastAsia="zh-CN"/>
        </w:rPr>
        <w:t>European Parliament and municipal elections by</w:t>
      </w:r>
      <w:r w:rsidRPr="00BD00A9">
        <w:rPr>
          <w:rFonts w:ascii="Times New Roman" w:eastAsiaTheme="minorEastAsia" w:hAnsi="Times New Roman"/>
          <w:noProof/>
          <w:sz w:val="24"/>
          <w:szCs w:val="24"/>
          <w:lang w:val="en-IE" w:eastAsia="zh-CN"/>
        </w:rPr>
        <w:t xml:space="preserve"> </w:t>
      </w:r>
      <w:r w:rsidR="175E2A62" w:rsidRPr="00BD00A9">
        <w:rPr>
          <w:rFonts w:ascii="Times New Roman" w:eastAsiaTheme="minorEastAsia" w:hAnsi="Times New Roman"/>
          <w:noProof/>
          <w:sz w:val="24"/>
          <w:szCs w:val="24"/>
          <w:lang w:val="en-IE" w:eastAsia="zh-CN"/>
        </w:rPr>
        <w:t>E</w:t>
      </w:r>
      <w:r w:rsidRPr="00BD00A9">
        <w:rPr>
          <w:rFonts w:ascii="Times New Roman" w:eastAsiaTheme="minorEastAsia" w:hAnsi="Times New Roman"/>
          <w:noProof/>
          <w:sz w:val="24"/>
          <w:szCs w:val="24"/>
          <w:lang w:val="en-IE" w:eastAsia="zh-CN"/>
        </w:rPr>
        <w:t xml:space="preserve">U citizens residing in a different Member State from their state of origin. These initiatives </w:t>
      </w:r>
      <w:r w:rsidR="00C568A5" w:rsidRPr="00BD00A9">
        <w:rPr>
          <w:rFonts w:ascii="Times New Roman" w:eastAsiaTheme="minorEastAsia" w:hAnsi="Times New Roman"/>
          <w:noProof/>
          <w:sz w:val="24"/>
          <w:szCs w:val="24"/>
          <w:lang w:val="en-IE" w:eastAsia="zh-CN"/>
        </w:rPr>
        <w:t xml:space="preserve">aim to </w:t>
      </w:r>
      <w:r w:rsidRPr="00BD00A9">
        <w:rPr>
          <w:rFonts w:ascii="Times New Roman" w:eastAsiaTheme="minorEastAsia" w:hAnsi="Times New Roman"/>
          <w:noProof/>
          <w:sz w:val="24"/>
          <w:szCs w:val="24"/>
          <w:lang w:val="en-IE" w:eastAsia="zh-CN"/>
        </w:rPr>
        <w:t xml:space="preserve">update, clarify and strengthen the existing rules to address the difficulties faced by mobile EU citizens, </w:t>
      </w:r>
      <w:r w:rsidR="00E03297" w:rsidRPr="00BD00A9">
        <w:rPr>
          <w:rFonts w:ascii="Times New Roman" w:eastAsiaTheme="minorEastAsia" w:hAnsi="Times New Roman"/>
          <w:noProof/>
          <w:sz w:val="24"/>
          <w:szCs w:val="24"/>
          <w:lang w:val="en-IE" w:eastAsia="zh-CN"/>
        </w:rPr>
        <w:t>and</w:t>
      </w:r>
      <w:r w:rsidR="00C568A5" w:rsidRPr="00BD00A9">
        <w:rPr>
          <w:rFonts w:ascii="Times New Roman" w:eastAsiaTheme="minorEastAsia" w:hAnsi="Times New Roman"/>
          <w:noProof/>
          <w:sz w:val="24"/>
          <w:szCs w:val="24"/>
          <w:lang w:val="en-IE" w:eastAsia="zh-CN"/>
        </w:rPr>
        <w:t xml:space="preserve"> </w:t>
      </w:r>
      <w:r w:rsidRPr="00BD00A9">
        <w:rPr>
          <w:rFonts w:ascii="Times New Roman" w:eastAsiaTheme="minorEastAsia" w:hAnsi="Times New Roman"/>
          <w:noProof/>
          <w:sz w:val="24"/>
          <w:szCs w:val="24"/>
          <w:lang w:val="en-IE" w:eastAsia="zh-CN"/>
        </w:rPr>
        <w:t xml:space="preserve">to ensure broad and inclusive participation in the 2024 elections to the European Parliament, support mobile EU citizens in the exercise of their rights and protect the integrity of elections. </w:t>
      </w:r>
    </w:p>
    <w:p w14:paraId="469DAF6C" w14:textId="56267E8D" w:rsidR="00D855E4" w:rsidRPr="00BD00A9" w:rsidRDefault="00673003" w:rsidP="7BBD3C28">
      <w:pPr>
        <w:spacing w:after="240" w:line="276" w:lineRule="auto"/>
        <w:jc w:val="both"/>
        <w:rPr>
          <w:rFonts w:ascii="Times New Roman" w:eastAsiaTheme="minorEastAsia" w:hAnsi="Times New Roman"/>
          <w:noProof/>
          <w:sz w:val="24"/>
          <w:szCs w:val="24"/>
          <w:lang w:val="en-IE" w:eastAsia="zh-CN"/>
        </w:rPr>
      </w:pPr>
      <w:r>
        <w:rPr>
          <w:rFonts w:ascii="Times New Roman" w:eastAsiaTheme="minorEastAsia" w:hAnsi="Times New Roman"/>
          <w:noProof/>
          <w:sz w:val="24"/>
          <w:szCs w:val="24"/>
          <w:lang w:val="en-IE" w:eastAsia="zh-CN"/>
        </w:rPr>
        <w:t>T</w:t>
      </w:r>
      <w:r w:rsidR="617A3785" w:rsidRPr="00BD00A9">
        <w:rPr>
          <w:rFonts w:ascii="Times New Roman" w:eastAsiaTheme="minorEastAsia" w:hAnsi="Times New Roman"/>
          <w:noProof/>
          <w:sz w:val="24"/>
          <w:szCs w:val="24"/>
          <w:lang w:val="en-IE" w:eastAsia="zh-CN"/>
        </w:rPr>
        <w:t>he</w:t>
      </w:r>
      <w:r w:rsidR="5E50D59F" w:rsidRPr="00BD00A9">
        <w:rPr>
          <w:rFonts w:ascii="Times New Roman" w:eastAsiaTheme="minorEastAsia" w:hAnsi="Times New Roman"/>
          <w:noProof/>
          <w:sz w:val="24"/>
          <w:szCs w:val="24"/>
          <w:lang w:val="en-IE" w:eastAsia="zh-CN"/>
        </w:rPr>
        <w:t xml:space="preserve"> proposal relat</w:t>
      </w:r>
      <w:r w:rsidR="11EAC3AB" w:rsidRPr="00BD00A9">
        <w:rPr>
          <w:rFonts w:ascii="Times New Roman" w:eastAsiaTheme="minorEastAsia" w:hAnsi="Times New Roman"/>
          <w:noProof/>
          <w:sz w:val="24"/>
          <w:szCs w:val="24"/>
          <w:lang w:val="en-IE" w:eastAsia="zh-CN"/>
        </w:rPr>
        <w:t>ing</w:t>
      </w:r>
      <w:r w:rsidR="5E50D59F" w:rsidRPr="00BD00A9">
        <w:rPr>
          <w:rFonts w:ascii="Times New Roman" w:eastAsiaTheme="minorEastAsia" w:hAnsi="Times New Roman"/>
          <w:noProof/>
          <w:sz w:val="24"/>
          <w:szCs w:val="24"/>
          <w:lang w:val="en-IE" w:eastAsia="zh-CN"/>
        </w:rPr>
        <w:t xml:space="preserve"> to the elections</w:t>
      </w:r>
      <w:r w:rsidR="00875012" w:rsidRPr="00BD00A9">
        <w:rPr>
          <w:rFonts w:ascii="Times New Roman" w:eastAsiaTheme="minorEastAsia" w:hAnsi="Times New Roman"/>
          <w:noProof/>
          <w:sz w:val="24"/>
          <w:szCs w:val="24"/>
          <w:lang w:val="en-IE" w:eastAsia="zh-CN"/>
        </w:rPr>
        <w:t xml:space="preserve"> to the European Parliament</w:t>
      </w:r>
      <w:r w:rsidR="008379E0" w:rsidRPr="00BD00A9">
        <w:rPr>
          <w:rStyle w:val="FootnoteReference"/>
          <w:rFonts w:ascii="Times New Roman" w:eastAsiaTheme="minorEastAsia" w:hAnsi="Times New Roman"/>
          <w:noProof/>
          <w:sz w:val="24"/>
          <w:szCs w:val="24"/>
          <w:lang w:val="en-IE" w:eastAsia="zh-CN"/>
        </w:rPr>
        <w:footnoteReference w:id="109"/>
      </w:r>
      <w:r w:rsidR="5E50D59F" w:rsidRPr="00BD00A9">
        <w:rPr>
          <w:rFonts w:ascii="Times New Roman" w:eastAsiaTheme="minorEastAsia" w:hAnsi="Times New Roman"/>
          <w:noProof/>
          <w:sz w:val="24"/>
          <w:szCs w:val="24"/>
          <w:lang w:val="en-IE" w:eastAsia="zh-CN"/>
        </w:rPr>
        <w:t xml:space="preserve">, </w:t>
      </w:r>
      <w:r w:rsidR="617A3785" w:rsidRPr="00BD00A9">
        <w:rPr>
          <w:rFonts w:ascii="Times New Roman" w:eastAsiaTheme="minorEastAsia" w:hAnsi="Times New Roman"/>
          <w:noProof/>
          <w:sz w:val="24"/>
          <w:szCs w:val="24"/>
          <w:lang w:val="en-IE" w:eastAsia="zh-CN"/>
        </w:rPr>
        <w:t>and the proposal related to municipal elections</w:t>
      </w:r>
      <w:r w:rsidR="00581BC6" w:rsidRPr="00BD00A9">
        <w:rPr>
          <w:rStyle w:val="FootnoteReference"/>
          <w:rFonts w:ascii="Times New Roman" w:eastAsiaTheme="minorEastAsia" w:hAnsi="Times New Roman"/>
          <w:noProof/>
          <w:sz w:val="24"/>
          <w:szCs w:val="24"/>
          <w:lang w:val="en-IE" w:eastAsia="zh-CN"/>
        </w:rPr>
        <w:footnoteReference w:id="110"/>
      </w:r>
      <w:r>
        <w:rPr>
          <w:rFonts w:ascii="Times New Roman" w:eastAsiaTheme="minorEastAsia" w:hAnsi="Times New Roman"/>
          <w:noProof/>
          <w:sz w:val="24"/>
          <w:szCs w:val="24"/>
          <w:lang w:val="en-IE" w:eastAsia="zh-CN"/>
        </w:rPr>
        <w:t xml:space="preserve"> both</w:t>
      </w:r>
      <w:r w:rsidR="617A3785" w:rsidRPr="00BD00A9">
        <w:rPr>
          <w:rFonts w:ascii="Times New Roman" w:eastAsiaTheme="minorEastAsia" w:hAnsi="Times New Roman"/>
          <w:noProof/>
          <w:sz w:val="24"/>
          <w:szCs w:val="24"/>
          <w:lang w:val="en-IE" w:eastAsia="zh-CN"/>
        </w:rPr>
        <w:t xml:space="preserve"> set </w:t>
      </w:r>
      <w:r w:rsidR="5E50D59F" w:rsidRPr="00BD00A9">
        <w:rPr>
          <w:rFonts w:ascii="Times New Roman" w:eastAsiaTheme="minorEastAsia" w:hAnsi="Times New Roman"/>
          <w:noProof/>
          <w:sz w:val="24"/>
          <w:szCs w:val="24"/>
          <w:lang w:val="en-IE" w:eastAsia="zh-CN"/>
        </w:rPr>
        <w:t>higher standards for providing electoral information to mobile EU citizens. The</w:t>
      </w:r>
      <w:r w:rsidR="0C81D82D" w:rsidRPr="00BD00A9">
        <w:rPr>
          <w:rFonts w:ascii="Times New Roman" w:eastAsiaTheme="minorEastAsia" w:hAnsi="Times New Roman"/>
          <w:noProof/>
          <w:sz w:val="24"/>
          <w:szCs w:val="24"/>
          <w:lang w:val="en-IE" w:eastAsia="zh-CN"/>
        </w:rPr>
        <w:t>y propose to</w:t>
      </w:r>
      <w:r w:rsidR="5E50D59F" w:rsidRPr="00BD00A9">
        <w:rPr>
          <w:rFonts w:ascii="Times New Roman" w:eastAsiaTheme="minorEastAsia" w:hAnsi="Times New Roman"/>
          <w:noProof/>
          <w:sz w:val="24"/>
          <w:szCs w:val="24"/>
          <w:lang w:val="en-IE" w:eastAsia="zh-CN"/>
        </w:rPr>
        <w:t xml:space="preserve"> require Member States to appoint authorities t</w:t>
      </w:r>
      <w:r w:rsidR="11EAC3AB" w:rsidRPr="00BD00A9">
        <w:rPr>
          <w:rFonts w:ascii="Times New Roman" w:eastAsiaTheme="minorEastAsia" w:hAnsi="Times New Roman"/>
          <w:noProof/>
          <w:sz w:val="24"/>
          <w:szCs w:val="24"/>
          <w:lang w:val="en-IE" w:eastAsia="zh-CN"/>
        </w:rPr>
        <w:t>o</w:t>
      </w:r>
      <w:r w:rsidR="0C81D82D" w:rsidRPr="00BD00A9">
        <w:rPr>
          <w:rFonts w:ascii="Times New Roman" w:eastAsiaTheme="minorEastAsia" w:hAnsi="Times New Roman"/>
          <w:noProof/>
          <w:sz w:val="24"/>
          <w:szCs w:val="24"/>
          <w:lang w:val="en-IE" w:eastAsia="zh-CN"/>
        </w:rPr>
        <w:t xml:space="preserve"> </w:t>
      </w:r>
      <w:r w:rsidR="5E50D59F" w:rsidRPr="00BD00A9">
        <w:rPr>
          <w:rFonts w:ascii="Times New Roman" w:eastAsiaTheme="minorEastAsia" w:hAnsi="Times New Roman"/>
          <w:noProof/>
          <w:sz w:val="24"/>
          <w:szCs w:val="24"/>
          <w:lang w:val="en-IE" w:eastAsia="zh-CN"/>
        </w:rPr>
        <w:t xml:space="preserve">proactively inform mobile EU citizens residing </w:t>
      </w:r>
      <w:r w:rsidR="11EAC3AB" w:rsidRPr="00BD00A9">
        <w:rPr>
          <w:rFonts w:ascii="Times New Roman" w:eastAsiaTheme="minorEastAsia" w:hAnsi="Times New Roman"/>
          <w:noProof/>
          <w:sz w:val="24"/>
          <w:szCs w:val="24"/>
          <w:lang w:val="en-IE" w:eastAsia="zh-CN"/>
        </w:rPr>
        <w:t xml:space="preserve">there </w:t>
      </w:r>
      <w:r w:rsidR="5E50D59F" w:rsidRPr="00BD00A9">
        <w:rPr>
          <w:rFonts w:ascii="Times New Roman" w:eastAsiaTheme="minorEastAsia" w:hAnsi="Times New Roman"/>
          <w:noProof/>
          <w:sz w:val="24"/>
          <w:szCs w:val="24"/>
          <w:lang w:val="en-IE" w:eastAsia="zh-CN"/>
        </w:rPr>
        <w:t xml:space="preserve">of the conditions and detailed rules for registration as a voter or candidate in </w:t>
      </w:r>
      <w:r w:rsidR="00581BC6" w:rsidRPr="00BD00A9">
        <w:rPr>
          <w:rFonts w:ascii="Times New Roman" w:eastAsiaTheme="minorEastAsia" w:hAnsi="Times New Roman"/>
          <w:noProof/>
          <w:sz w:val="24"/>
          <w:szCs w:val="24"/>
          <w:lang w:val="en-IE" w:eastAsia="zh-CN"/>
        </w:rPr>
        <w:t xml:space="preserve">elections to the </w:t>
      </w:r>
      <w:r w:rsidR="5E50D59F" w:rsidRPr="00BD00A9">
        <w:rPr>
          <w:rFonts w:ascii="Times New Roman" w:eastAsiaTheme="minorEastAsia" w:hAnsi="Times New Roman"/>
          <w:noProof/>
          <w:sz w:val="24"/>
          <w:szCs w:val="24"/>
          <w:lang w:val="en-IE" w:eastAsia="zh-CN"/>
        </w:rPr>
        <w:t>European Parliament</w:t>
      </w:r>
      <w:r w:rsidR="617A3785" w:rsidRPr="00BD00A9">
        <w:rPr>
          <w:rFonts w:ascii="Times New Roman" w:eastAsiaTheme="minorEastAsia" w:hAnsi="Times New Roman"/>
          <w:noProof/>
          <w:sz w:val="24"/>
          <w:szCs w:val="24"/>
          <w:lang w:val="en-IE" w:eastAsia="zh-CN"/>
        </w:rPr>
        <w:t xml:space="preserve"> and municipal elections respectively</w:t>
      </w:r>
      <w:r w:rsidR="470CC9C4" w:rsidRPr="00BD00A9">
        <w:rPr>
          <w:rFonts w:ascii="Times New Roman" w:eastAsiaTheme="minorEastAsia" w:hAnsi="Times New Roman"/>
          <w:noProof/>
          <w:sz w:val="24"/>
          <w:szCs w:val="24"/>
          <w:lang w:val="en-IE" w:eastAsia="zh-CN"/>
        </w:rPr>
        <w:t>.</w:t>
      </w:r>
      <w:r w:rsidR="008A7E31" w:rsidRPr="00BD00A9">
        <w:rPr>
          <w:rFonts w:ascii="Times New Roman" w:eastAsiaTheme="minorEastAsia" w:hAnsi="Times New Roman"/>
          <w:noProof/>
          <w:sz w:val="24"/>
          <w:szCs w:val="24"/>
          <w:lang w:val="en-IE" w:eastAsia="zh-CN"/>
        </w:rPr>
        <w:t xml:space="preserve"> </w:t>
      </w:r>
      <w:r w:rsidR="0C81D82D" w:rsidRPr="00BD00A9">
        <w:rPr>
          <w:rFonts w:ascii="Times New Roman" w:eastAsiaTheme="minorEastAsia" w:hAnsi="Times New Roman"/>
          <w:noProof/>
          <w:sz w:val="24"/>
          <w:szCs w:val="24"/>
          <w:lang w:val="en-IE" w:eastAsia="zh-CN"/>
        </w:rPr>
        <w:t>They</w:t>
      </w:r>
      <w:r w:rsidR="5E50D59F" w:rsidRPr="00BD00A9">
        <w:rPr>
          <w:rFonts w:ascii="Times New Roman" w:eastAsiaTheme="minorEastAsia" w:hAnsi="Times New Roman"/>
          <w:noProof/>
          <w:sz w:val="24"/>
          <w:szCs w:val="24"/>
          <w:lang w:val="en-IE" w:eastAsia="zh-CN"/>
        </w:rPr>
        <w:t xml:space="preserve"> also</w:t>
      </w:r>
      <w:r w:rsidR="0C81D82D" w:rsidRPr="00BD00A9">
        <w:rPr>
          <w:rFonts w:ascii="Times New Roman" w:eastAsiaTheme="minorEastAsia" w:hAnsi="Times New Roman"/>
          <w:noProof/>
          <w:sz w:val="24"/>
          <w:szCs w:val="24"/>
          <w:lang w:val="en-IE" w:eastAsia="zh-CN"/>
        </w:rPr>
        <w:t xml:space="preserve"> propose to</w:t>
      </w:r>
      <w:r w:rsidR="5E50D59F" w:rsidRPr="00BD00A9">
        <w:rPr>
          <w:rFonts w:ascii="Times New Roman" w:eastAsiaTheme="minorEastAsia" w:hAnsi="Times New Roman"/>
          <w:noProof/>
          <w:sz w:val="24"/>
          <w:szCs w:val="24"/>
          <w:lang w:val="en-IE" w:eastAsia="zh-CN"/>
        </w:rPr>
        <w:t xml:space="preserve"> introduce standard templates for the formal declarations that have to be produced by mobile EU citizens to register as voters and candidates.</w:t>
      </w:r>
      <w:r w:rsidR="0C81D82D" w:rsidRPr="00BD00A9">
        <w:rPr>
          <w:rFonts w:ascii="Times New Roman" w:eastAsiaTheme="minorEastAsia" w:hAnsi="Times New Roman"/>
          <w:noProof/>
          <w:sz w:val="24"/>
          <w:szCs w:val="24"/>
          <w:lang w:val="en-IE" w:eastAsia="zh-CN"/>
        </w:rPr>
        <w:t xml:space="preserve"> </w:t>
      </w:r>
      <w:r w:rsidR="5E50D59F" w:rsidRPr="00BD00A9">
        <w:rPr>
          <w:rFonts w:ascii="Times New Roman" w:eastAsiaTheme="minorEastAsia" w:hAnsi="Times New Roman"/>
          <w:noProof/>
          <w:sz w:val="24"/>
          <w:szCs w:val="24"/>
          <w:lang w:val="en-IE" w:eastAsia="zh-CN"/>
        </w:rPr>
        <w:t xml:space="preserve">The European Parliament adopted its opinions on these </w:t>
      </w:r>
      <w:r w:rsidR="11EAC3AB" w:rsidRPr="00BD00A9">
        <w:rPr>
          <w:rFonts w:ascii="Times New Roman" w:eastAsiaTheme="minorEastAsia" w:hAnsi="Times New Roman"/>
          <w:noProof/>
          <w:sz w:val="24"/>
          <w:szCs w:val="24"/>
          <w:lang w:val="en-IE" w:eastAsia="zh-CN"/>
        </w:rPr>
        <w:t>proposals</w:t>
      </w:r>
      <w:r w:rsidR="5E50D59F" w:rsidRPr="00BD00A9">
        <w:rPr>
          <w:rFonts w:ascii="Times New Roman" w:eastAsiaTheme="minorEastAsia" w:hAnsi="Times New Roman"/>
          <w:noProof/>
          <w:sz w:val="24"/>
          <w:szCs w:val="24"/>
          <w:lang w:val="en-IE" w:eastAsia="zh-CN"/>
        </w:rPr>
        <w:t xml:space="preserve"> on 13 February 2023. They are currently </w:t>
      </w:r>
      <w:r w:rsidR="11EAC3AB" w:rsidRPr="00BD00A9">
        <w:rPr>
          <w:rFonts w:ascii="Times New Roman" w:eastAsiaTheme="minorEastAsia" w:hAnsi="Times New Roman"/>
          <w:noProof/>
          <w:sz w:val="24"/>
          <w:szCs w:val="24"/>
          <w:lang w:val="en-IE" w:eastAsia="zh-CN"/>
        </w:rPr>
        <w:t xml:space="preserve">being </w:t>
      </w:r>
      <w:r w:rsidR="5E50D59F" w:rsidRPr="00BD00A9">
        <w:rPr>
          <w:rFonts w:ascii="Times New Roman" w:eastAsiaTheme="minorEastAsia" w:hAnsi="Times New Roman"/>
          <w:noProof/>
          <w:sz w:val="24"/>
          <w:szCs w:val="24"/>
          <w:lang w:val="en-IE" w:eastAsia="zh-CN"/>
        </w:rPr>
        <w:t>discussed in the Council.</w:t>
      </w:r>
    </w:p>
    <w:p w14:paraId="74A277FC" w14:textId="4E946A86" w:rsidR="00C038CB" w:rsidRPr="00BD00A9" w:rsidRDefault="00C038CB" w:rsidP="5171B88A">
      <w:pPr>
        <w:spacing w:after="240" w:line="276" w:lineRule="auto"/>
        <w:jc w:val="both"/>
        <w:rPr>
          <w:rFonts w:ascii="Times New Roman" w:eastAsiaTheme="minorEastAsia" w:hAnsi="Times New Roman"/>
          <w:noProof/>
          <w:sz w:val="24"/>
          <w:szCs w:val="24"/>
          <w:lang w:val="en-IE" w:eastAsia="zh-CN"/>
        </w:rPr>
      </w:pPr>
      <w:r w:rsidRPr="00BD00A9">
        <w:rPr>
          <w:rFonts w:ascii="Times New Roman" w:eastAsiaTheme="minorEastAsia" w:hAnsi="Times New Roman"/>
          <w:noProof/>
          <w:sz w:val="24"/>
          <w:szCs w:val="24"/>
          <w:lang w:val="en-IE" w:eastAsia="zh-CN"/>
        </w:rPr>
        <w:t xml:space="preserve">The package adopted on 25 November </w:t>
      </w:r>
      <w:r w:rsidR="00F21108" w:rsidRPr="00BD00A9">
        <w:rPr>
          <w:rFonts w:ascii="Times New Roman" w:eastAsiaTheme="minorEastAsia" w:hAnsi="Times New Roman"/>
          <w:noProof/>
          <w:sz w:val="24"/>
          <w:szCs w:val="24"/>
          <w:lang w:val="en-IE" w:eastAsia="zh-CN"/>
        </w:rPr>
        <w:t xml:space="preserve">2021 </w:t>
      </w:r>
      <w:r w:rsidRPr="00BD00A9">
        <w:rPr>
          <w:rFonts w:ascii="Times New Roman" w:eastAsiaTheme="minorEastAsia" w:hAnsi="Times New Roman"/>
          <w:noProof/>
          <w:sz w:val="24"/>
          <w:szCs w:val="24"/>
          <w:lang w:val="en-IE" w:eastAsia="zh-CN"/>
        </w:rPr>
        <w:t xml:space="preserve">also included a </w:t>
      </w:r>
      <w:r w:rsidRPr="00BD00A9">
        <w:rPr>
          <w:rFonts w:ascii="Times New Roman" w:eastAsiaTheme="minorEastAsia" w:hAnsi="Times New Roman"/>
          <w:b/>
          <w:bCs/>
          <w:noProof/>
          <w:sz w:val="24"/>
          <w:szCs w:val="24"/>
          <w:lang w:val="en-IE" w:eastAsia="zh-CN"/>
        </w:rPr>
        <w:t xml:space="preserve">Communication on </w:t>
      </w:r>
      <w:r w:rsidR="00807C66" w:rsidRPr="00BD00A9">
        <w:rPr>
          <w:rFonts w:ascii="Times New Roman" w:eastAsiaTheme="minorEastAsia" w:hAnsi="Times New Roman"/>
          <w:b/>
          <w:bCs/>
          <w:noProof/>
          <w:sz w:val="24"/>
          <w:szCs w:val="24"/>
          <w:lang w:val="en-IE" w:eastAsia="zh-CN"/>
        </w:rPr>
        <w:t>p</w:t>
      </w:r>
      <w:r w:rsidRPr="00BD00A9">
        <w:rPr>
          <w:rFonts w:ascii="Times New Roman" w:eastAsiaTheme="minorEastAsia" w:hAnsi="Times New Roman"/>
          <w:b/>
          <w:bCs/>
          <w:noProof/>
          <w:sz w:val="24"/>
          <w:szCs w:val="24"/>
          <w:lang w:val="en-IE" w:eastAsia="zh-CN"/>
        </w:rPr>
        <w:t>rotecting election integrity and promoting democratic participation</w:t>
      </w:r>
      <w:r w:rsidRPr="00BD00A9">
        <w:rPr>
          <w:rStyle w:val="FootnoteReference"/>
          <w:rFonts w:ascii="Times New Roman" w:eastAsiaTheme="minorEastAsia" w:hAnsi="Times New Roman"/>
          <w:noProof/>
          <w:sz w:val="24"/>
          <w:szCs w:val="24"/>
          <w:lang w:val="en-IE" w:eastAsia="zh-CN"/>
        </w:rPr>
        <w:footnoteReference w:id="111"/>
      </w:r>
      <w:r w:rsidRPr="00BD00A9">
        <w:rPr>
          <w:rFonts w:ascii="Times New Roman" w:eastAsiaTheme="minorEastAsia" w:hAnsi="Times New Roman"/>
          <w:noProof/>
          <w:sz w:val="24"/>
          <w:szCs w:val="24"/>
          <w:lang w:val="en-IE" w:eastAsia="zh-CN"/>
        </w:rPr>
        <w:t>. In the Communication the Commission announced</w:t>
      </w:r>
      <w:r w:rsidR="00807C66" w:rsidRPr="00BD00A9">
        <w:rPr>
          <w:rFonts w:ascii="Times New Roman" w:eastAsiaTheme="minorEastAsia" w:hAnsi="Times New Roman"/>
          <w:noProof/>
          <w:sz w:val="24"/>
          <w:szCs w:val="24"/>
          <w:lang w:val="en-IE" w:eastAsia="zh-CN"/>
        </w:rPr>
        <w:t xml:space="preserve"> the establishment of a </w:t>
      </w:r>
      <w:r w:rsidR="00807C66" w:rsidRPr="00BD00A9">
        <w:rPr>
          <w:rFonts w:ascii="Times New Roman" w:eastAsiaTheme="minorEastAsia" w:hAnsi="Times New Roman"/>
          <w:b/>
          <w:bCs/>
          <w:noProof/>
          <w:sz w:val="24"/>
          <w:szCs w:val="24"/>
          <w:lang w:val="en-IE" w:eastAsia="zh-CN"/>
        </w:rPr>
        <w:t>contact point on electoral rights</w:t>
      </w:r>
      <w:r w:rsidRPr="00BD00A9">
        <w:rPr>
          <w:rFonts w:ascii="Times New Roman" w:eastAsiaTheme="minorEastAsia" w:hAnsi="Times New Roman"/>
          <w:noProof/>
          <w:sz w:val="24"/>
          <w:szCs w:val="24"/>
          <w:lang w:val="en-IE" w:eastAsia="zh-CN"/>
        </w:rPr>
        <w:t>, as part of the commitment to deliver on the shared resource</w:t>
      </w:r>
      <w:r w:rsidR="00215B79" w:rsidRPr="00BD00A9">
        <w:rPr>
          <w:noProof/>
        </w:rPr>
        <w:t xml:space="preserve"> </w:t>
      </w:r>
      <w:r w:rsidR="00215B79" w:rsidRPr="00BD00A9">
        <w:rPr>
          <w:rFonts w:ascii="Times New Roman" w:eastAsiaTheme="minorEastAsia" w:hAnsi="Times New Roman"/>
          <w:noProof/>
          <w:sz w:val="24"/>
          <w:szCs w:val="24"/>
          <w:lang w:val="en-IE" w:eastAsia="zh-CN"/>
        </w:rPr>
        <w:t>to support EU citizens in exercising their electoral rights</w:t>
      </w:r>
      <w:r w:rsidR="00215B79" w:rsidRPr="00BD00A9">
        <w:rPr>
          <w:rStyle w:val="FootnoteReference"/>
          <w:rFonts w:ascii="Times New Roman" w:eastAsiaTheme="minorEastAsia" w:hAnsi="Times New Roman"/>
          <w:noProof/>
          <w:sz w:val="24"/>
          <w:szCs w:val="24"/>
          <w:lang w:val="en-IE" w:eastAsia="zh-CN"/>
        </w:rPr>
        <w:footnoteReference w:id="112"/>
      </w:r>
      <w:r w:rsidRPr="00BD00A9">
        <w:rPr>
          <w:rFonts w:ascii="Times New Roman" w:eastAsiaTheme="minorEastAsia" w:hAnsi="Times New Roman"/>
          <w:noProof/>
          <w:sz w:val="24"/>
          <w:szCs w:val="24"/>
          <w:lang w:val="en-IE" w:eastAsia="zh-CN"/>
        </w:rPr>
        <w:t>. T</w:t>
      </w:r>
      <w:r w:rsidR="00166B5C" w:rsidRPr="00BD00A9">
        <w:rPr>
          <w:rFonts w:ascii="Times New Roman" w:eastAsiaTheme="minorEastAsia" w:hAnsi="Times New Roman"/>
          <w:noProof/>
          <w:sz w:val="24"/>
          <w:szCs w:val="24"/>
          <w:lang w:val="en-IE" w:eastAsia="zh-CN"/>
        </w:rPr>
        <w:t>his function will be fulfilled by t</w:t>
      </w:r>
      <w:r w:rsidRPr="00BD00A9">
        <w:rPr>
          <w:rFonts w:ascii="Times New Roman" w:eastAsiaTheme="minorEastAsia" w:hAnsi="Times New Roman"/>
          <w:noProof/>
          <w:sz w:val="24"/>
          <w:szCs w:val="24"/>
          <w:lang w:val="en-IE" w:eastAsia="zh-CN"/>
        </w:rPr>
        <w:t xml:space="preserve">he European Direct Contact Centre </w:t>
      </w:r>
      <w:r w:rsidR="00166B5C" w:rsidRPr="00BD00A9">
        <w:rPr>
          <w:rFonts w:ascii="Times New Roman" w:eastAsiaTheme="minorEastAsia" w:hAnsi="Times New Roman"/>
          <w:noProof/>
          <w:sz w:val="24"/>
          <w:szCs w:val="24"/>
          <w:lang w:val="en-IE" w:eastAsia="zh-CN"/>
        </w:rPr>
        <w:t xml:space="preserve">which </w:t>
      </w:r>
      <w:r w:rsidRPr="00BD00A9">
        <w:rPr>
          <w:rFonts w:ascii="Times New Roman" w:eastAsiaTheme="minorEastAsia" w:hAnsi="Times New Roman"/>
          <w:noProof/>
          <w:sz w:val="24"/>
          <w:szCs w:val="24"/>
          <w:lang w:val="en-IE" w:eastAsia="zh-CN"/>
        </w:rPr>
        <w:t xml:space="preserve">will serve as an elections helpline for the 2024 </w:t>
      </w:r>
      <w:r w:rsidR="00875012" w:rsidRPr="00BD00A9">
        <w:rPr>
          <w:rFonts w:ascii="Times New Roman" w:eastAsiaTheme="minorEastAsia" w:hAnsi="Times New Roman"/>
          <w:noProof/>
          <w:sz w:val="24"/>
          <w:szCs w:val="24"/>
          <w:lang w:val="en-IE" w:eastAsia="zh-CN"/>
        </w:rPr>
        <w:t xml:space="preserve">elections to the </w:t>
      </w:r>
      <w:r w:rsidRPr="00BD00A9">
        <w:rPr>
          <w:rFonts w:ascii="Times New Roman" w:eastAsiaTheme="minorEastAsia" w:hAnsi="Times New Roman"/>
          <w:noProof/>
          <w:sz w:val="24"/>
          <w:szCs w:val="24"/>
          <w:lang w:val="en-IE" w:eastAsia="zh-CN"/>
        </w:rPr>
        <w:t>European Parliament.</w:t>
      </w:r>
    </w:p>
    <w:p w14:paraId="0446E2DF" w14:textId="48830BC3" w:rsidR="002045D5" w:rsidRPr="00BD00A9" w:rsidRDefault="002045D5" w:rsidP="006F452E">
      <w:pPr>
        <w:spacing w:after="240" w:line="276" w:lineRule="auto"/>
        <w:jc w:val="both"/>
        <w:rPr>
          <w:rFonts w:ascii="Times New Roman" w:eastAsiaTheme="minorEastAsia" w:hAnsi="Times New Roman"/>
          <w:noProof/>
          <w:sz w:val="24"/>
          <w:szCs w:val="24"/>
          <w:lang w:val="en-IE" w:eastAsia="zh-CN"/>
        </w:rPr>
      </w:pPr>
      <w:r w:rsidRPr="00BD00A9">
        <w:rPr>
          <w:rFonts w:ascii="Times New Roman" w:eastAsiaTheme="minorEastAsia" w:hAnsi="Times New Roman"/>
          <w:noProof/>
          <w:sz w:val="24"/>
          <w:szCs w:val="24"/>
          <w:lang w:val="en-IE" w:eastAsia="zh-CN"/>
        </w:rPr>
        <w:t xml:space="preserve">Together with the European Parliament, the Commission has also launched a </w:t>
      </w:r>
      <w:r w:rsidRPr="00BD00A9">
        <w:rPr>
          <w:rFonts w:ascii="Times New Roman" w:eastAsiaTheme="minorEastAsia" w:hAnsi="Times New Roman"/>
          <w:b/>
          <w:bCs/>
          <w:noProof/>
          <w:sz w:val="24"/>
          <w:szCs w:val="24"/>
          <w:lang w:val="en-IE" w:eastAsia="zh-CN"/>
        </w:rPr>
        <w:t>communication campaign</w:t>
      </w:r>
      <w:r w:rsidRPr="00BD00A9">
        <w:rPr>
          <w:rFonts w:ascii="Times New Roman" w:eastAsiaTheme="minorEastAsia" w:hAnsi="Times New Roman"/>
          <w:noProof/>
          <w:sz w:val="24"/>
          <w:szCs w:val="24"/>
          <w:lang w:val="en-IE" w:eastAsia="zh-CN"/>
        </w:rPr>
        <w:t xml:space="preserve"> intended to increase the number of mobile EU citizens voting in the 2024 </w:t>
      </w:r>
      <w:r w:rsidR="00875012" w:rsidRPr="00BD00A9">
        <w:rPr>
          <w:rFonts w:ascii="Times New Roman" w:eastAsiaTheme="minorEastAsia" w:hAnsi="Times New Roman"/>
          <w:noProof/>
          <w:sz w:val="24"/>
          <w:szCs w:val="24"/>
          <w:lang w:val="en-IE" w:eastAsia="zh-CN"/>
        </w:rPr>
        <w:t>elections</w:t>
      </w:r>
      <w:r w:rsidRPr="00BD00A9">
        <w:rPr>
          <w:rFonts w:ascii="Times New Roman" w:eastAsiaTheme="minorEastAsia" w:hAnsi="Times New Roman"/>
          <w:noProof/>
          <w:sz w:val="24"/>
          <w:szCs w:val="24"/>
          <w:lang w:val="en-IE" w:eastAsia="zh-CN"/>
        </w:rPr>
        <w:t xml:space="preserve">. This campaign intends to </w:t>
      </w:r>
      <w:r w:rsidR="00E13516" w:rsidRPr="00BD00A9">
        <w:rPr>
          <w:rFonts w:ascii="Times New Roman" w:eastAsiaTheme="minorEastAsia" w:hAnsi="Times New Roman"/>
          <w:noProof/>
          <w:sz w:val="24"/>
          <w:szCs w:val="24"/>
          <w:lang w:val="en-IE" w:eastAsia="zh-CN"/>
        </w:rPr>
        <w:t>encourage</w:t>
      </w:r>
      <w:r w:rsidRPr="00BD00A9">
        <w:rPr>
          <w:rFonts w:ascii="Times New Roman" w:eastAsiaTheme="minorEastAsia" w:hAnsi="Times New Roman"/>
          <w:noProof/>
          <w:sz w:val="24"/>
          <w:szCs w:val="24"/>
          <w:lang w:val="en-IE" w:eastAsia="zh-CN"/>
        </w:rPr>
        <w:t xml:space="preserve"> mobile EU citizens to register </w:t>
      </w:r>
      <w:r w:rsidR="00E13516" w:rsidRPr="00BD00A9">
        <w:rPr>
          <w:rFonts w:ascii="Times New Roman" w:eastAsiaTheme="minorEastAsia" w:hAnsi="Times New Roman"/>
          <w:noProof/>
          <w:sz w:val="24"/>
          <w:szCs w:val="24"/>
          <w:lang w:val="en-IE" w:eastAsia="zh-CN"/>
        </w:rPr>
        <w:t xml:space="preserve">and vote in these elections </w:t>
      </w:r>
      <w:r w:rsidRPr="00BD00A9">
        <w:rPr>
          <w:rFonts w:ascii="Times New Roman" w:eastAsiaTheme="minorEastAsia" w:hAnsi="Times New Roman"/>
          <w:noProof/>
          <w:sz w:val="24"/>
          <w:szCs w:val="24"/>
          <w:lang w:val="en-IE" w:eastAsia="zh-CN"/>
        </w:rPr>
        <w:t>by raising awareness about registration deadlines and procedures in the home and residence countries</w:t>
      </w:r>
      <w:r w:rsidR="00722A79" w:rsidRPr="00BD00A9">
        <w:rPr>
          <w:rStyle w:val="FootnoteReference"/>
          <w:rFonts w:ascii="Times New Roman" w:eastAsiaTheme="minorEastAsia" w:hAnsi="Times New Roman"/>
          <w:noProof/>
          <w:sz w:val="24"/>
          <w:szCs w:val="24"/>
          <w:lang w:val="en-IE" w:eastAsia="zh-CN"/>
        </w:rPr>
        <w:footnoteReference w:id="113"/>
      </w:r>
      <w:r w:rsidR="00722A79" w:rsidRPr="00BD00A9">
        <w:rPr>
          <w:rFonts w:ascii="Times New Roman" w:eastAsiaTheme="minorEastAsia" w:hAnsi="Times New Roman"/>
          <w:noProof/>
          <w:sz w:val="24"/>
          <w:szCs w:val="24"/>
          <w:lang w:val="en-IE" w:eastAsia="zh-CN"/>
        </w:rPr>
        <w:t>.</w:t>
      </w:r>
    </w:p>
    <w:p w14:paraId="043AA285" w14:textId="51766555" w:rsidR="00A47978" w:rsidRPr="00BD00A9" w:rsidRDefault="00D90D45" w:rsidP="5171B88A">
      <w:pPr>
        <w:spacing w:line="276" w:lineRule="auto"/>
        <w:jc w:val="both"/>
        <w:rPr>
          <w:rFonts w:ascii="Times New Roman" w:eastAsiaTheme="minorEastAsia" w:hAnsi="Times New Roman"/>
          <w:noProof/>
          <w:sz w:val="24"/>
          <w:szCs w:val="24"/>
          <w:lang w:eastAsia="zh-CN"/>
        </w:rPr>
      </w:pPr>
      <w:r w:rsidRPr="00BD00A9">
        <w:rPr>
          <w:rFonts w:ascii="Times New Roman" w:eastAsiaTheme="minorEastAsia" w:hAnsi="Times New Roman"/>
          <w:noProof/>
          <w:sz w:val="24"/>
          <w:szCs w:val="24"/>
          <w:lang w:eastAsia="zh-CN"/>
        </w:rPr>
        <w:t xml:space="preserve">In </w:t>
      </w:r>
      <w:r w:rsidR="00A47978" w:rsidRPr="00BD00A9">
        <w:rPr>
          <w:rFonts w:ascii="Times New Roman" w:eastAsiaTheme="minorEastAsia" w:hAnsi="Times New Roman"/>
          <w:noProof/>
          <w:sz w:val="24"/>
          <w:szCs w:val="24"/>
          <w:lang w:eastAsia="zh-CN"/>
        </w:rPr>
        <w:t>accordance with Article 14(1) of the Directive on the right to vote and to stand as a candidate in elections to the European Parliament</w:t>
      </w:r>
      <w:r w:rsidR="00A47978" w:rsidRPr="00BD00A9">
        <w:rPr>
          <w:rStyle w:val="FootnoteReference"/>
          <w:rFonts w:ascii="Times New Roman" w:eastAsiaTheme="minorEastAsia" w:hAnsi="Times New Roman"/>
          <w:noProof/>
          <w:sz w:val="24"/>
          <w:szCs w:val="24"/>
          <w:lang w:eastAsia="zh-CN"/>
        </w:rPr>
        <w:footnoteReference w:id="114"/>
      </w:r>
      <w:r w:rsidR="00A47978" w:rsidRPr="00BD00A9">
        <w:rPr>
          <w:rFonts w:ascii="Times New Roman" w:eastAsiaTheme="minorEastAsia" w:hAnsi="Times New Roman"/>
          <w:noProof/>
          <w:sz w:val="24"/>
          <w:szCs w:val="24"/>
          <w:lang w:eastAsia="zh-CN"/>
        </w:rPr>
        <w:t xml:space="preserve">, Member States </w:t>
      </w:r>
      <w:r w:rsidR="00807C66" w:rsidRPr="00BD00A9">
        <w:rPr>
          <w:rFonts w:ascii="Times New Roman" w:eastAsiaTheme="minorEastAsia" w:hAnsi="Times New Roman"/>
          <w:noProof/>
          <w:sz w:val="24"/>
          <w:szCs w:val="24"/>
          <w:lang w:eastAsia="zh-CN"/>
        </w:rPr>
        <w:t xml:space="preserve">may provide for certain </w:t>
      </w:r>
      <w:r w:rsidR="00807C66" w:rsidRPr="00BD00A9">
        <w:rPr>
          <w:rFonts w:ascii="Times New Roman" w:eastAsiaTheme="minorEastAsia" w:hAnsi="Times New Roman"/>
          <w:b/>
          <w:bCs/>
          <w:noProof/>
          <w:sz w:val="24"/>
          <w:szCs w:val="24"/>
          <w:lang w:eastAsia="zh-CN"/>
        </w:rPr>
        <w:t>derogations</w:t>
      </w:r>
      <w:r w:rsidR="00807C66" w:rsidRPr="00BD00A9">
        <w:rPr>
          <w:rFonts w:ascii="Times New Roman" w:eastAsiaTheme="minorEastAsia" w:hAnsi="Times New Roman"/>
          <w:noProof/>
          <w:sz w:val="24"/>
          <w:szCs w:val="24"/>
          <w:lang w:eastAsia="zh-CN"/>
        </w:rPr>
        <w:t xml:space="preserve"> if</w:t>
      </w:r>
      <w:r w:rsidR="00A47978" w:rsidRPr="00BD00A9">
        <w:rPr>
          <w:rFonts w:ascii="Times New Roman" w:eastAsiaTheme="minorEastAsia" w:hAnsi="Times New Roman"/>
          <w:noProof/>
          <w:sz w:val="24"/>
          <w:szCs w:val="24"/>
          <w:lang w:eastAsia="zh-CN"/>
        </w:rPr>
        <w:t xml:space="preserve"> the proportion of mobile EU citizens of voting age exceeds 20% of the total number of EU citizens of voting age</w:t>
      </w:r>
      <w:r w:rsidR="005A5FEE" w:rsidRPr="00BD00A9">
        <w:rPr>
          <w:rFonts w:ascii="Times New Roman" w:eastAsiaTheme="minorEastAsia" w:hAnsi="Times New Roman"/>
          <w:noProof/>
          <w:sz w:val="24"/>
          <w:szCs w:val="24"/>
          <w:lang w:eastAsia="zh-CN"/>
        </w:rPr>
        <w:t xml:space="preserve"> residing in that Member State</w:t>
      </w:r>
      <w:r w:rsidR="00A47978" w:rsidRPr="00BD00A9">
        <w:rPr>
          <w:rFonts w:ascii="Times New Roman" w:eastAsiaTheme="minorEastAsia" w:hAnsi="Times New Roman"/>
          <w:noProof/>
          <w:sz w:val="24"/>
          <w:szCs w:val="24"/>
          <w:lang w:eastAsia="zh-CN"/>
        </w:rPr>
        <w:t>,</w:t>
      </w:r>
      <w:r w:rsidR="00A47978" w:rsidRPr="00BD00A9">
        <w:rPr>
          <w:rStyle w:val="FootnoteReference"/>
          <w:rFonts w:ascii="Times New Roman" w:eastAsiaTheme="minorEastAsia" w:hAnsi="Times New Roman"/>
          <w:noProof/>
          <w:sz w:val="24"/>
          <w:szCs w:val="24"/>
          <w:lang w:eastAsia="zh-CN"/>
        </w:rPr>
        <w:footnoteReference w:id="115"/>
      </w:r>
      <w:r w:rsidR="00A47978" w:rsidRPr="00BD00A9">
        <w:rPr>
          <w:rFonts w:ascii="Times New Roman" w:eastAsiaTheme="minorEastAsia" w:hAnsi="Times New Roman"/>
          <w:noProof/>
          <w:sz w:val="24"/>
          <w:szCs w:val="24"/>
          <w:lang w:eastAsia="zh-CN"/>
        </w:rPr>
        <w:t xml:space="preserve">. On </w:t>
      </w:r>
      <w:r w:rsidR="006135E4" w:rsidRPr="00BD00A9">
        <w:rPr>
          <w:rFonts w:ascii="Times New Roman" w:eastAsiaTheme="minorEastAsia" w:hAnsi="Times New Roman"/>
          <w:noProof/>
          <w:sz w:val="24"/>
          <w:szCs w:val="24"/>
          <w:lang w:eastAsia="zh-CN"/>
        </w:rPr>
        <w:t>7 Nove</w:t>
      </w:r>
      <w:r w:rsidR="00187E84" w:rsidRPr="00BD00A9">
        <w:rPr>
          <w:rFonts w:ascii="Times New Roman" w:eastAsiaTheme="minorEastAsia" w:hAnsi="Times New Roman"/>
          <w:noProof/>
          <w:sz w:val="24"/>
          <w:szCs w:val="24"/>
          <w:lang w:eastAsia="zh-CN"/>
        </w:rPr>
        <w:t>m</w:t>
      </w:r>
      <w:r w:rsidR="006135E4" w:rsidRPr="00BD00A9">
        <w:rPr>
          <w:rFonts w:ascii="Times New Roman" w:eastAsiaTheme="minorEastAsia" w:hAnsi="Times New Roman"/>
          <w:noProof/>
          <w:sz w:val="24"/>
          <w:szCs w:val="24"/>
          <w:lang w:eastAsia="zh-CN"/>
        </w:rPr>
        <w:t>ber 2023</w:t>
      </w:r>
      <w:r w:rsidR="00A47978" w:rsidRPr="00BD00A9">
        <w:rPr>
          <w:rFonts w:ascii="Times New Roman" w:eastAsiaTheme="minorEastAsia" w:hAnsi="Times New Roman"/>
          <w:noProof/>
          <w:sz w:val="24"/>
          <w:szCs w:val="24"/>
          <w:lang w:eastAsia="zh-CN"/>
        </w:rPr>
        <w:t xml:space="preserve">, the Commission adopted a </w:t>
      </w:r>
      <w:r w:rsidR="00807C66" w:rsidRPr="00BD00A9">
        <w:rPr>
          <w:rFonts w:ascii="Times New Roman" w:eastAsiaTheme="minorEastAsia" w:hAnsi="Times New Roman"/>
          <w:noProof/>
          <w:sz w:val="24"/>
          <w:szCs w:val="24"/>
          <w:lang w:eastAsia="zh-CN"/>
        </w:rPr>
        <w:t>r</w:t>
      </w:r>
      <w:r w:rsidR="00A47978" w:rsidRPr="00BD00A9">
        <w:rPr>
          <w:rFonts w:ascii="Times New Roman" w:eastAsiaTheme="minorEastAsia" w:hAnsi="Times New Roman"/>
          <w:noProof/>
          <w:sz w:val="24"/>
          <w:szCs w:val="24"/>
          <w:lang w:eastAsia="zh-CN"/>
        </w:rPr>
        <w:t xml:space="preserve">eport </w:t>
      </w:r>
      <w:r w:rsidR="009A72DE" w:rsidRPr="00BD00A9">
        <w:rPr>
          <w:rFonts w:ascii="Times New Roman" w:eastAsiaTheme="minorEastAsia" w:hAnsi="Times New Roman"/>
          <w:noProof/>
          <w:sz w:val="24"/>
          <w:szCs w:val="24"/>
          <w:lang w:eastAsia="zh-CN"/>
        </w:rPr>
        <w:t>on granting a derogation under Article 22(2)</w:t>
      </w:r>
      <w:r w:rsidR="00A70F89" w:rsidRPr="00BD00A9">
        <w:rPr>
          <w:rStyle w:val="FootnoteReference"/>
          <w:rFonts w:ascii="Times New Roman" w:eastAsiaTheme="minorEastAsia" w:hAnsi="Times New Roman"/>
          <w:noProof/>
          <w:sz w:val="24"/>
          <w:szCs w:val="24"/>
          <w:lang w:eastAsia="zh-CN"/>
        </w:rPr>
        <w:footnoteReference w:id="116"/>
      </w:r>
      <w:r w:rsidR="00141FC6">
        <w:rPr>
          <w:rFonts w:ascii="Times New Roman" w:eastAsiaTheme="minorEastAsia" w:hAnsi="Times New Roman"/>
          <w:noProof/>
          <w:sz w:val="24"/>
          <w:szCs w:val="24"/>
          <w:lang w:eastAsia="zh-CN"/>
        </w:rPr>
        <w:t>.</w:t>
      </w:r>
      <w:r w:rsidR="009A72DE" w:rsidRPr="00BD00A9">
        <w:rPr>
          <w:rFonts w:ascii="Times New Roman" w:eastAsiaTheme="minorEastAsia" w:hAnsi="Times New Roman"/>
          <w:noProof/>
          <w:sz w:val="24"/>
          <w:szCs w:val="24"/>
          <w:lang w:eastAsia="zh-CN"/>
        </w:rPr>
        <w:t xml:space="preserve"> </w:t>
      </w:r>
      <w:r w:rsidR="00A47978" w:rsidRPr="00BD00A9">
        <w:rPr>
          <w:rFonts w:ascii="Times New Roman" w:eastAsiaTheme="minorEastAsia" w:hAnsi="Times New Roman"/>
          <w:noProof/>
          <w:sz w:val="24"/>
          <w:szCs w:val="24"/>
          <w:lang w:eastAsia="zh-CN"/>
        </w:rPr>
        <w:t xml:space="preserve"> </w:t>
      </w:r>
    </w:p>
    <w:p w14:paraId="7E25C65F" w14:textId="5FAC5865" w:rsidR="00B146C3" w:rsidRPr="00BD00A9" w:rsidRDefault="0635DD89" w:rsidP="00B146C3">
      <w:pPr>
        <w:spacing w:after="240" w:line="276" w:lineRule="auto"/>
        <w:jc w:val="both"/>
        <w:rPr>
          <w:rFonts w:ascii="Times New Roman" w:hAnsi="Times New Roman"/>
          <w:noProof/>
          <w:sz w:val="24"/>
          <w:szCs w:val="24"/>
          <w:lang w:val="en-IE"/>
        </w:rPr>
      </w:pPr>
      <w:r w:rsidRPr="00BD00A9">
        <w:rPr>
          <w:rFonts w:ascii="Times New Roman" w:eastAsiaTheme="minorEastAsia" w:hAnsi="Times New Roman"/>
          <w:noProof/>
          <w:sz w:val="24"/>
          <w:szCs w:val="24"/>
          <w:lang w:val="en-IE" w:eastAsia="zh-CN"/>
        </w:rPr>
        <w:t xml:space="preserve">EU citizenship rights do not grant mobile EU citizens the </w:t>
      </w:r>
      <w:r w:rsidRPr="00BD00A9">
        <w:rPr>
          <w:rFonts w:ascii="Times New Roman" w:eastAsiaTheme="minorEastAsia" w:hAnsi="Times New Roman"/>
          <w:b/>
          <w:bCs/>
          <w:noProof/>
          <w:sz w:val="24"/>
          <w:szCs w:val="24"/>
          <w:lang w:val="en-IE" w:eastAsia="zh-CN"/>
        </w:rPr>
        <w:t>right to vote in national elections</w:t>
      </w:r>
      <w:r w:rsidRPr="00BD00A9">
        <w:rPr>
          <w:rFonts w:ascii="Times New Roman" w:eastAsiaTheme="minorEastAsia" w:hAnsi="Times New Roman"/>
          <w:noProof/>
          <w:sz w:val="24"/>
          <w:szCs w:val="24"/>
          <w:lang w:val="en-IE" w:eastAsia="zh-CN"/>
        </w:rPr>
        <w:t xml:space="preserve"> in their Member State of residence, even though they are active members of society and are affected by national policies. </w:t>
      </w:r>
      <w:r w:rsidR="00E13516" w:rsidRPr="00BD00A9">
        <w:rPr>
          <w:rFonts w:ascii="Times New Roman" w:eastAsiaTheme="minorEastAsia" w:hAnsi="Times New Roman"/>
          <w:noProof/>
          <w:sz w:val="24"/>
          <w:szCs w:val="24"/>
          <w:lang w:val="en-IE" w:eastAsia="zh-CN"/>
        </w:rPr>
        <w:t>T</w:t>
      </w:r>
      <w:r w:rsidRPr="00BD00A9">
        <w:rPr>
          <w:rFonts w:ascii="Times New Roman" w:eastAsiaTheme="minorEastAsia" w:hAnsi="Times New Roman"/>
          <w:noProof/>
          <w:sz w:val="24"/>
          <w:szCs w:val="24"/>
          <w:lang w:val="en-IE" w:eastAsia="zh-CN"/>
        </w:rPr>
        <w:t xml:space="preserve">he </w:t>
      </w:r>
      <w:r w:rsidR="00807C66" w:rsidRPr="00BD00A9">
        <w:rPr>
          <w:rFonts w:ascii="Times New Roman" w:eastAsiaTheme="minorEastAsia" w:hAnsi="Times New Roman"/>
          <w:noProof/>
          <w:sz w:val="24"/>
          <w:szCs w:val="24"/>
          <w:lang w:val="en-IE" w:eastAsia="zh-CN"/>
        </w:rPr>
        <w:t>‘</w:t>
      </w:r>
      <w:r w:rsidRPr="00BD00A9">
        <w:rPr>
          <w:rFonts w:ascii="Times New Roman" w:hAnsi="Times New Roman"/>
          <w:noProof/>
          <w:sz w:val="24"/>
          <w:szCs w:val="24"/>
          <w:lang w:val="en-IE"/>
        </w:rPr>
        <w:t>EU Citizenship Report 2020</w:t>
      </w:r>
      <w:r w:rsidR="00807C66" w:rsidRPr="00BD00A9">
        <w:rPr>
          <w:rFonts w:ascii="Times New Roman" w:hAnsi="Times New Roman"/>
          <w:noProof/>
          <w:sz w:val="24"/>
          <w:szCs w:val="24"/>
          <w:lang w:val="en-IE"/>
        </w:rPr>
        <w:t>’</w:t>
      </w:r>
      <w:r w:rsidRPr="00BD00A9">
        <w:rPr>
          <w:rFonts w:ascii="Times New Roman" w:hAnsi="Times New Roman"/>
          <w:noProof/>
          <w:sz w:val="24"/>
          <w:szCs w:val="24"/>
          <w:lang w:val="en-IE"/>
        </w:rPr>
        <w:t xml:space="preserve"> Communication</w:t>
      </w:r>
      <w:r w:rsidR="00E13516" w:rsidRPr="00BD00A9">
        <w:rPr>
          <w:rFonts w:ascii="Times New Roman" w:hAnsi="Times New Roman"/>
          <w:noProof/>
          <w:sz w:val="24"/>
          <w:szCs w:val="24"/>
          <w:lang w:val="en-IE"/>
        </w:rPr>
        <w:t xml:space="preserve"> </w:t>
      </w:r>
      <w:r w:rsidR="00807C66" w:rsidRPr="00BD00A9">
        <w:rPr>
          <w:rFonts w:ascii="Times New Roman" w:hAnsi="Times New Roman"/>
          <w:noProof/>
          <w:sz w:val="24"/>
          <w:szCs w:val="24"/>
          <w:lang w:val="en-IE"/>
        </w:rPr>
        <w:t>noted</w:t>
      </w:r>
      <w:r w:rsidRPr="00BD00A9">
        <w:rPr>
          <w:rFonts w:ascii="Times New Roman" w:hAnsi="Times New Roman"/>
          <w:noProof/>
          <w:sz w:val="24"/>
          <w:szCs w:val="24"/>
          <w:lang w:val="en-IE"/>
        </w:rPr>
        <w:t xml:space="preserve"> that there </w:t>
      </w:r>
      <w:r w:rsidR="00807C66" w:rsidRPr="00BD00A9">
        <w:rPr>
          <w:rFonts w:ascii="Times New Roman" w:hAnsi="Times New Roman"/>
          <w:noProof/>
          <w:sz w:val="24"/>
          <w:szCs w:val="24"/>
          <w:lang w:val="en-IE"/>
        </w:rPr>
        <w:t>wa</w:t>
      </w:r>
      <w:r w:rsidRPr="00BD00A9">
        <w:rPr>
          <w:rFonts w:ascii="Times New Roman" w:hAnsi="Times New Roman"/>
          <w:noProof/>
          <w:sz w:val="24"/>
          <w:szCs w:val="24"/>
          <w:lang w:val="en-IE"/>
        </w:rPr>
        <w:t>s a certain public support to grant mobile EU citizens such a right</w:t>
      </w:r>
      <w:r w:rsidR="0A294384" w:rsidRPr="00BD00A9">
        <w:rPr>
          <w:rFonts w:ascii="Times New Roman" w:hAnsi="Times New Roman"/>
          <w:noProof/>
          <w:sz w:val="24"/>
          <w:szCs w:val="24"/>
          <w:lang w:val="en-IE"/>
        </w:rPr>
        <w:t>. A</w:t>
      </w:r>
      <w:r w:rsidRPr="00BD00A9">
        <w:rPr>
          <w:rFonts w:ascii="Times New Roman" w:hAnsi="Times New Roman"/>
          <w:noProof/>
          <w:sz w:val="24"/>
          <w:szCs w:val="24"/>
          <w:lang w:val="en-IE"/>
        </w:rPr>
        <w:t xml:space="preserve"> European </w:t>
      </w:r>
      <w:r w:rsidR="00D45D15" w:rsidRPr="00BD00A9">
        <w:rPr>
          <w:rFonts w:ascii="Times New Roman" w:hAnsi="Times New Roman"/>
          <w:noProof/>
          <w:sz w:val="24"/>
          <w:szCs w:val="24"/>
          <w:lang w:val="en-IE"/>
        </w:rPr>
        <w:t>c</w:t>
      </w:r>
      <w:r w:rsidRPr="00BD00A9">
        <w:rPr>
          <w:rFonts w:ascii="Times New Roman" w:hAnsi="Times New Roman"/>
          <w:noProof/>
          <w:sz w:val="24"/>
          <w:szCs w:val="24"/>
          <w:lang w:val="en-IE"/>
        </w:rPr>
        <w:t xml:space="preserve">itizens’ </w:t>
      </w:r>
      <w:r w:rsidR="00D45D15" w:rsidRPr="00BD00A9">
        <w:rPr>
          <w:rFonts w:ascii="Times New Roman" w:hAnsi="Times New Roman"/>
          <w:noProof/>
          <w:sz w:val="24"/>
          <w:szCs w:val="24"/>
          <w:lang w:val="en-IE"/>
        </w:rPr>
        <w:t>i</w:t>
      </w:r>
      <w:r w:rsidRPr="00BD00A9">
        <w:rPr>
          <w:rFonts w:ascii="Times New Roman" w:hAnsi="Times New Roman"/>
          <w:noProof/>
          <w:sz w:val="24"/>
          <w:szCs w:val="24"/>
          <w:lang w:val="en-IE"/>
        </w:rPr>
        <w:t>nitiative on this subject</w:t>
      </w:r>
      <w:r w:rsidR="6993E5C9" w:rsidRPr="00BD00A9">
        <w:rPr>
          <w:rFonts w:ascii="Times New Roman" w:hAnsi="Times New Roman"/>
          <w:noProof/>
          <w:sz w:val="24"/>
          <w:szCs w:val="24"/>
          <w:lang w:val="en-IE"/>
        </w:rPr>
        <w:t xml:space="preserve"> </w:t>
      </w:r>
      <w:r w:rsidRPr="00BD00A9">
        <w:rPr>
          <w:rFonts w:ascii="Times New Roman" w:hAnsi="Times New Roman"/>
          <w:noProof/>
          <w:sz w:val="24"/>
          <w:szCs w:val="24"/>
          <w:lang w:val="en-IE"/>
        </w:rPr>
        <w:t>was registered in 2020</w:t>
      </w:r>
      <w:r w:rsidR="0A294384" w:rsidRPr="00BD00A9">
        <w:rPr>
          <w:rFonts w:ascii="Times New Roman" w:hAnsi="Times New Roman"/>
          <w:noProof/>
          <w:sz w:val="24"/>
          <w:szCs w:val="24"/>
          <w:lang w:val="en-IE"/>
        </w:rPr>
        <w:t xml:space="preserve"> but did not manage to </w:t>
      </w:r>
      <w:r w:rsidR="00807C66" w:rsidRPr="00BD00A9">
        <w:rPr>
          <w:rFonts w:ascii="Times New Roman" w:hAnsi="Times New Roman"/>
          <w:noProof/>
          <w:sz w:val="24"/>
          <w:szCs w:val="24"/>
          <w:lang w:val="en-IE"/>
        </w:rPr>
        <w:t>gather</w:t>
      </w:r>
      <w:r w:rsidR="0A294384" w:rsidRPr="00BD00A9">
        <w:rPr>
          <w:rFonts w:ascii="Times New Roman" w:hAnsi="Times New Roman"/>
          <w:noProof/>
          <w:sz w:val="24"/>
          <w:szCs w:val="24"/>
          <w:lang w:val="en-IE"/>
        </w:rPr>
        <w:t xml:space="preserve"> the necessary support</w:t>
      </w:r>
      <w:r w:rsidR="00543D9D" w:rsidRPr="00BD00A9">
        <w:rPr>
          <w:rStyle w:val="FootnoteReference"/>
          <w:rFonts w:ascii="Times New Roman" w:hAnsi="Times New Roman"/>
          <w:noProof/>
          <w:sz w:val="24"/>
          <w:szCs w:val="24"/>
          <w:lang w:val="en-IE"/>
        </w:rPr>
        <w:footnoteReference w:id="117"/>
      </w:r>
      <w:r w:rsidRPr="00BD00A9">
        <w:rPr>
          <w:rFonts w:ascii="Times New Roman" w:hAnsi="Times New Roman"/>
          <w:noProof/>
          <w:sz w:val="24"/>
          <w:szCs w:val="24"/>
          <w:lang w:val="en-IE"/>
        </w:rPr>
        <w:t xml:space="preserve">. </w:t>
      </w:r>
      <w:r w:rsidR="00807C66" w:rsidRPr="00BD00A9">
        <w:rPr>
          <w:rFonts w:ascii="Times New Roman" w:hAnsi="Times New Roman"/>
          <w:noProof/>
          <w:sz w:val="24"/>
          <w:szCs w:val="24"/>
          <w:lang w:val="en-IE"/>
        </w:rPr>
        <w:t>S</w:t>
      </w:r>
      <w:r w:rsidR="00B146C3" w:rsidRPr="00BD00A9">
        <w:rPr>
          <w:rFonts w:ascii="Times New Roman" w:hAnsi="Times New Roman"/>
          <w:noProof/>
          <w:sz w:val="24"/>
          <w:szCs w:val="24"/>
          <w:lang w:val="en-IE"/>
        </w:rPr>
        <w:t xml:space="preserve">everal EU Member States deprive their </w:t>
      </w:r>
      <w:r w:rsidR="000E2D33" w:rsidRPr="00BD00A9">
        <w:rPr>
          <w:rFonts w:ascii="Times New Roman" w:hAnsi="Times New Roman"/>
          <w:noProof/>
          <w:sz w:val="24"/>
          <w:szCs w:val="24"/>
          <w:lang w:val="en-IE"/>
        </w:rPr>
        <w:t xml:space="preserve">own </w:t>
      </w:r>
      <w:r w:rsidR="00B146C3" w:rsidRPr="00BD00A9">
        <w:rPr>
          <w:rFonts w:ascii="Times New Roman" w:hAnsi="Times New Roman"/>
          <w:noProof/>
          <w:sz w:val="24"/>
          <w:szCs w:val="24"/>
          <w:lang w:val="en-IE"/>
        </w:rPr>
        <w:t xml:space="preserve">nationals </w:t>
      </w:r>
      <w:r w:rsidR="00D15E24" w:rsidRPr="00BD00A9">
        <w:rPr>
          <w:rFonts w:ascii="Times New Roman" w:hAnsi="Times New Roman"/>
          <w:noProof/>
          <w:sz w:val="24"/>
          <w:szCs w:val="24"/>
          <w:lang w:val="en-IE"/>
        </w:rPr>
        <w:t>of the right to vote in national elections if they</w:t>
      </w:r>
      <w:r w:rsidR="00B146C3" w:rsidRPr="00BD00A9">
        <w:rPr>
          <w:rFonts w:ascii="Times New Roman" w:hAnsi="Times New Roman"/>
          <w:noProof/>
          <w:sz w:val="24"/>
          <w:szCs w:val="24"/>
          <w:lang w:val="en-IE"/>
        </w:rPr>
        <w:t xml:space="preserve"> permanently reside in other countries. </w:t>
      </w:r>
      <w:r w:rsidR="004C54A8" w:rsidRPr="00BD00A9">
        <w:rPr>
          <w:rFonts w:ascii="Times New Roman" w:eastAsiaTheme="minorEastAsia" w:hAnsi="Times New Roman"/>
          <w:noProof/>
          <w:sz w:val="24"/>
          <w:szCs w:val="24"/>
          <w:lang w:val="en-IE" w:eastAsia="zh-CN"/>
        </w:rPr>
        <w:t xml:space="preserve">As </w:t>
      </w:r>
      <w:r w:rsidR="00D15E24" w:rsidRPr="00BD00A9">
        <w:rPr>
          <w:rFonts w:ascii="Times New Roman" w:eastAsiaTheme="minorEastAsia" w:hAnsi="Times New Roman"/>
          <w:noProof/>
          <w:sz w:val="24"/>
          <w:szCs w:val="24"/>
          <w:lang w:val="en-IE" w:eastAsia="zh-CN"/>
        </w:rPr>
        <w:t>reiterated</w:t>
      </w:r>
      <w:r w:rsidR="004C54A8" w:rsidRPr="00BD00A9">
        <w:rPr>
          <w:rFonts w:ascii="Times New Roman" w:eastAsiaTheme="minorEastAsia" w:hAnsi="Times New Roman"/>
          <w:noProof/>
          <w:sz w:val="24"/>
          <w:szCs w:val="24"/>
          <w:lang w:val="en-IE" w:eastAsia="zh-CN"/>
        </w:rPr>
        <w:t xml:space="preserve"> i</w:t>
      </w:r>
      <w:r w:rsidR="00B146C3" w:rsidRPr="00BD00A9">
        <w:rPr>
          <w:rFonts w:ascii="Times New Roman" w:eastAsiaTheme="minorEastAsia" w:hAnsi="Times New Roman"/>
          <w:noProof/>
          <w:sz w:val="24"/>
          <w:szCs w:val="24"/>
          <w:lang w:val="en-IE" w:eastAsia="zh-CN"/>
        </w:rPr>
        <w:t xml:space="preserve">n the </w:t>
      </w:r>
      <w:r w:rsidR="00D15E24" w:rsidRPr="00BD00A9">
        <w:rPr>
          <w:rFonts w:ascii="Times New Roman" w:eastAsiaTheme="minorEastAsia" w:hAnsi="Times New Roman"/>
          <w:noProof/>
          <w:sz w:val="24"/>
          <w:szCs w:val="24"/>
          <w:lang w:val="en-IE" w:eastAsia="zh-CN"/>
        </w:rPr>
        <w:t>‘</w:t>
      </w:r>
      <w:r w:rsidR="00B146C3" w:rsidRPr="00BD00A9">
        <w:rPr>
          <w:rFonts w:ascii="Times New Roman" w:hAnsi="Times New Roman"/>
          <w:noProof/>
          <w:sz w:val="24"/>
          <w:szCs w:val="24"/>
          <w:lang w:val="en-IE"/>
        </w:rPr>
        <w:t>EU Citizenship Report 2020</w:t>
      </w:r>
      <w:r w:rsidR="00D15E24" w:rsidRPr="00BD00A9">
        <w:rPr>
          <w:rFonts w:ascii="Times New Roman" w:hAnsi="Times New Roman"/>
          <w:noProof/>
          <w:sz w:val="24"/>
          <w:szCs w:val="24"/>
          <w:lang w:val="en-IE"/>
        </w:rPr>
        <w:t>’</w:t>
      </w:r>
      <w:r w:rsidR="00B146C3" w:rsidRPr="00BD00A9">
        <w:rPr>
          <w:rFonts w:ascii="Times New Roman" w:hAnsi="Times New Roman"/>
          <w:noProof/>
          <w:sz w:val="24"/>
          <w:szCs w:val="24"/>
          <w:lang w:val="en-IE"/>
        </w:rPr>
        <w:t xml:space="preserve"> Communication, the Commission </w:t>
      </w:r>
      <w:r w:rsidR="004C54A8" w:rsidRPr="00BD00A9">
        <w:rPr>
          <w:rFonts w:ascii="Times New Roman" w:hAnsi="Times New Roman"/>
          <w:noProof/>
          <w:sz w:val="24"/>
          <w:szCs w:val="24"/>
          <w:lang w:val="en-IE"/>
        </w:rPr>
        <w:t xml:space="preserve">continues to </w:t>
      </w:r>
      <w:r w:rsidR="00B146C3" w:rsidRPr="00BD00A9">
        <w:rPr>
          <w:rFonts w:ascii="Times New Roman" w:hAnsi="Times New Roman"/>
          <w:noProof/>
          <w:sz w:val="24"/>
          <w:szCs w:val="24"/>
          <w:lang w:val="en-IE"/>
        </w:rPr>
        <w:t xml:space="preserve">call on </w:t>
      </w:r>
      <w:r w:rsidR="00D15E24" w:rsidRPr="00BD00A9">
        <w:rPr>
          <w:rFonts w:ascii="Times New Roman" w:hAnsi="Times New Roman"/>
          <w:noProof/>
          <w:sz w:val="24"/>
          <w:szCs w:val="24"/>
          <w:lang w:val="en-IE"/>
        </w:rPr>
        <w:t xml:space="preserve">the </w:t>
      </w:r>
      <w:r w:rsidR="00B146C3" w:rsidRPr="00BD00A9">
        <w:rPr>
          <w:rFonts w:ascii="Times New Roman" w:hAnsi="Times New Roman"/>
          <w:noProof/>
          <w:sz w:val="24"/>
          <w:szCs w:val="24"/>
          <w:lang w:val="en-IE"/>
        </w:rPr>
        <w:t xml:space="preserve">Member States concerned to abolish these rules. </w:t>
      </w:r>
    </w:p>
    <w:p w14:paraId="613B54B8" w14:textId="73A3F4B8" w:rsidR="00D855E4" w:rsidRPr="00BD00A9" w:rsidRDefault="00D855E4" w:rsidP="00D855E4">
      <w:pPr>
        <w:pStyle w:val="Heading3"/>
        <w:rPr>
          <w:noProof/>
        </w:rPr>
      </w:pPr>
      <w:bookmarkStart w:id="66" w:name="_Toc150854723"/>
      <w:bookmarkStart w:id="67" w:name="_Toc152502504"/>
      <w:r w:rsidRPr="00BD00A9">
        <w:rPr>
          <w:noProof/>
        </w:rPr>
        <w:t>Empowering democratic participation</w:t>
      </w:r>
      <w:bookmarkEnd w:id="66"/>
      <w:bookmarkEnd w:id="67"/>
    </w:p>
    <w:p w14:paraId="31154678" w14:textId="529A0BEA" w:rsidR="00E13516" w:rsidRPr="00BD00A9" w:rsidRDefault="00E13516" w:rsidP="00E13516">
      <w:pPr>
        <w:spacing w:after="240" w:line="276" w:lineRule="auto"/>
        <w:jc w:val="both"/>
        <w:rPr>
          <w:rFonts w:ascii="Times New Roman" w:eastAsiaTheme="minorEastAsia" w:hAnsi="Times New Roman"/>
          <w:noProof/>
          <w:sz w:val="24"/>
          <w:szCs w:val="24"/>
          <w:lang w:val="en-IE" w:eastAsia="zh-CN"/>
        </w:rPr>
      </w:pPr>
      <w:r w:rsidRPr="00BD00A9">
        <w:rPr>
          <w:rFonts w:ascii="Times New Roman" w:eastAsiaTheme="minorEastAsia" w:hAnsi="Times New Roman"/>
          <w:noProof/>
          <w:sz w:val="24"/>
          <w:szCs w:val="24"/>
          <w:lang w:val="en-IE" w:eastAsia="zh-CN"/>
        </w:rPr>
        <w:t xml:space="preserve">Every citizen has the right to participate in the democratic life of the </w:t>
      </w:r>
      <w:r w:rsidR="00D15E24" w:rsidRPr="00BD00A9">
        <w:rPr>
          <w:rFonts w:ascii="Times New Roman" w:eastAsiaTheme="minorEastAsia" w:hAnsi="Times New Roman"/>
          <w:noProof/>
          <w:sz w:val="24"/>
          <w:szCs w:val="24"/>
          <w:lang w:val="en-IE" w:eastAsia="zh-CN"/>
        </w:rPr>
        <w:t>EU</w:t>
      </w:r>
      <w:r w:rsidRPr="00BD00A9">
        <w:rPr>
          <w:rStyle w:val="FootnoteReference"/>
          <w:rFonts w:ascii="Times New Roman" w:eastAsiaTheme="minorEastAsia" w:hAnsi="Times New Roman"/>
          <w:noProof/>
          <w:sz w:val="24"/>
          <w:szCs w:val="24"/>
          <w:lang w:val="en-IE" w:eastAsia="zh-CN"/>
        </w:rPr>
        <w:footnoteReference w:id="118"/>
      </w:r>
      <w:r w:rsidRPr="00BD00A9">
        <w:rPr>
          <w:rFonts w:ascii="Times New Roman" w:eastAsiaTheme="minorEastAsia" w:hAnsi="Times New Roman"/>
          <w:noProof/>
          <w:sz w:val="24"/>
          <w:szCs w:val="24"/>
          <w:lang w:val="en-IE" w:eastAsia="zh-CN"/>
        </w:rPr>
        <w:t xml:space="preserve">. Ensuring </w:t>
      </w:r>
      <w:r w:rsidRPr="00BD00A9">
        <w:rPr>
          <w:rFonts w:ascii="Times New Roman" w:eastAsiaTheme="minorEastAsia" w:hAnsi="Times New Roman"/>
          <w:b/>
          <w:bCs/>
          <w:noProof/>
          <w:sz w:val="24"/>
          <w:szCs w:val="24"/>
          <w:lang w:val="en-IE" w:eastAsia="zh-CN"/>
        </w:rPr>
        <w:t>inclusive democracies and equal opportunities in elections</w:t>
      </w:r>
      <w:r w:rsidRPr="00BD00A9">
        <w:rPr>
          <w:rFonts w:ascii="Times New Roman" w:eastAsiaTheme="minorEastAsia" w:hAnsi="Times New Roman"/>
          <w:noProof/>
          <w:sz w:val="24"/>
          <w:szCs w:val="24"/>
          <w:lang w:val="en-IE" w:eastAsia="zh-CN"/>
        </w:rPr>
        <w:t xml:space="preserve"> is essential for the Commission, in particular in light of the upcoming elections</w:t>
      </w:r>
      <w:r w:rsidR="00875012" w:rsidRPr="00BD00A9">
        <w:rPr>
          <w:rFonts w:ascii="Times New Roman" w:eastAsiaTheme="minorEastAsia" w:hAnsi="Times New Roman"/>
          <w:noProof/>
          <w:sz w:val="24"/>
          <w:szCs w:val="24"/>
          <w:lang w:val="en-IE" w:eastAsia="zh-CN"/>
        </w:rPr>
        <w:t xml:space="preserve"> to the European Parliament</w:t>
      </w:r>
      <w:r w:rsidRPr="00BD00A9">
        <w:rPr>
          <w:rFonts w:ascii="Times New Roman" w:eastAsiaTheme="minorEastAsia" w:hAnsi="Times New Roman"/>
          <w:noProof/>
          <w:sz w:val="24"/>
          <w:szCs w:val="24"/>
          <w:lang w:val="en-IE" w:eastAsia="zh-CN"/>
        </w:rPr>
        <w:t>. Therefore, the Commission has worked to promote inclusiveness</w:t>
      </w:r>
      <w:r w:rsidR="00434BD0" w:rsidRPr="00BD00A9">
        <w:rPr>
          <w:rFonts w:ascii="Times New Roman" w:eastAsiaTheme="minorEastAsia" w:hAnsi="Times New Roman"/>
          <w:noProof/>
          <w:sz w:val="24"/>
          <w:szCs w:val="24"/>
          <w:lang w:val="en-IE" w:eastAsia="zh-CN"/>
        </w:rPr>
        <w:t>, including by supporting</w:t>
      </w:r>
      <w:r w:rsidR="00FF6CB4" w:rsidRPr="00BD00A9">
        <w:rPr>
          <w:rFonts w:ascii="Times New Roman" w:eastAsiaTheme="minorEastAsia" w:hAnsi="Times New Roman"/>
          <w:noProof/>
          <w:sz w:val="24"/>
          <w:szCs w:val="24"/>
          <w:lang w:val="en-IE" w:eastAsia="zh-CN"/>
        </w:rPr>
        <w:t xml:space="preserve"> exchanges among Member States on </w:t>
      </w:r>
      <w:r w:rsidR="001C5A10" w:rsidRPr="00BD00A9">
        <w:rPr>
          <w:rFonts w:ascii="Times New Roman" w:eastAsiaTheme="minorEastAsia" w:hAnsi="Times New Roman"/>
          <w:noProof/>
          <w:sz w:val="24"/>
          <w:szCs w:val="24"/>
          <w:lang w:val="en-IE" w:eastAsia="zh-CN"/>
        </w:rPr>
        <w:t>participation in elections of</w:t>
      </w:r>
      <w:r w:rsidR="00096EC9" w:rsidRPr="00BD00A9">
        <w:rPr>
          <w:rFonts w:ascii="Times New Roman" w:eastAsiaTheme="minorEastAsia" w:hAnsi="Times New Roman"/>
          <w:noProof/>
          <w:sz w:val="24"/>
          <w:szCs w:val="24"/>
          <w:lang w:val="en-IE" w:eastAsia="zh-CN"/>
        </w:rPr>
        <w:t xml:space="preserve"> different groups</w:t>
      </w:r>
      <w:r w:rsidR="00FF6CB4" w:rsidRPr="00BD00A9">
        <w:rPr>
          <w:rFonts w:ascii="Times New Roman" w:eastAsiaTheme="minorEastAsia" w:hAnsi="Times New Roman"/>
          <w:noProof/>
          <w:sz w:val="24"/>
          <w:szCs w:val="24"/>
          <w:lang w:val="en-IE" w:eastAsia="zh-CN"/>
        </w:rPr>
        <w:t>,</w:t>
      </w:r>
      <w:r w:rsidRPr="00BD00A9">
        <w:rPr>
          <w:rFonts w:ascii="Times New Roman" w:eastAsiaTheme="minorEastAsia" w:hAnsi="Times New Roman"/>
          <w:noProof/>
          <w:sz w:val="24"/>
          <w:szCs w:val="24"/>
          <w:lang w:val="en-IE" w:eastAsia="zh-CN"/>
        </w:rPr>
        <w:t xml:space="preserve"> and to ensure that </w:t>
      </w:r>
      <w:r w:rsidR="00D15E24" w:rsidRPr="00BD00A9">
        <w:rPr>
          <w:rFonts w:ascii="Times New Roman" w:eastAsiaTheme="minorEastAsia" w:hAnsi="Times New Roman"/>
          <w:noProof/>
          <w:sz w:val="24"/>
          <w:szCs w:val="24"/>
          <w:lang w:val="en-IE" w:eastAsia="zh-CN"/>
        </w:rPr>
        <w:t xml:space="preserve">the </w:t>
      </w:r>
      <w:r w:rsidRPr="00BD00A9">
        <w:rPr>
          <w:rFonts w:ascii="Times New Roman" w:eastAsiaTheme="minorEastAsia" w:hAnsi="Times New Roman"/>
          <w:noProof/>
          <w:sz w:val="24"/>
          <w:szCs w:val="24"/>
          <w:lang w:val="en-IE" w:eastAsia="zh-CN"/>
        </w:rPr>
        <w:t>democratic and electoral rights of all EU citizens are respected and properly implemented.</w:t>
      </w:r>
    </w:p>
    <w:p w14:paraId="0467EBB0" w14:textId="55E43C52" w:rsidR="00023A9E" w:rsidRPr="00BD00A9" w:rsidRDefault="00E77BC9" w:rsidP="006B66AB">
      <w:pPr>
        <w:pStyle w:val="Briefinglist1"/>
        <w:spacing w:before="120" w:line="276" w:lineRule="auto"/>
        <w:ind w:left="0" w:firstLine="0"/>
        <w:rPr>
          <w:rFonts w:ascii="Times New Roman" w:eastAsiaTheme="minorEastAsia" w:hAnsi="Times New Roman" w:cstheme="minorBidi"/>
          <w:noProof/>
          <w:sz w:val="24"/>
          <w:lang w:val="en-IE" w:eastAsia="zh-CN"/>
        </w:rPr>
      </w:pPr>
      <w:r w:rsidRPr="00BD00A9">
        <w:rPr>
          <w:rFonts w:ascii="Times New Roman" w:eastAsiaTheme="minorEastAsia" w:hAnsi="Times New Roman" w:cstheme="minorBidi"/>
          <w:noProof/>
          <w:sz w:val="24"/>
          <w:lang w:eastAsia="zh-CN"/>
        </w:rPr>
        <w:t>Throughout the COVID-19 pandemic, the Commission monitored the impacts of COVID-</w:t>
      </w:r>
      <w:r w:rsidR="00D15E24" w:rsidRPr="00BD00A9">
        <w:rPr>
          <w:rFonts w:ascii="Times New Roman" w:eastAsiaTheme="minorEastAsia" w:hAnsi="Times New Roman" w:cstheme="minorBidi"/>
          <w:noProof/>
          <w:sz w:val="24"/>
          <w:lang w:eastAsia="zh-CN"/>
        </w:rPr>
        <w:t>19-</w:t>
      </w:r>
      <w:r w:rsidRPr="00BD00A9">
        <w:rPr>
          <w:rFonts w:ascii="Times New Roman" w:eastAsiaTheme="minorEastAsia" w:hAnsi="Times New Roman" w:cstheme="minorBidi"/>
          <w:noProof/>
          <w:sz w:val="24"/>
          <w:lang w:eastAsia="zh-CN"/>
        </w:rPr>
        <w:t xml:space="preserve">related measures on democratic debate and elections. </w:t>
      </w:r>
      <w:r w:rsidR="00023A9E" w:rsidRPr="00BD00A9">
        <w:rPr>
          <w:rFonts w:ascii="Times New Roman" w:eastAsiaTheme="minorEastAsia" w:hAnsi="Times New Roman" w:cstheme="minorBidi"/>
          <w:noProof/>
          <w:sz w:val="24"/>
          <w:lang w:val="en-IE" w:eastAsia="zh-CN"/>
        </w:rPr>
        <w:t xml:space="preserve">On 6 June 2020, at the start of the pandemic, the Commission issued a </w:t>
      </w:r>
      <w:r w:rsidR="00023A9E" w:rsidRPr="00BD00A9">
        <w:rPr>
          <w:rFonts w:ascii="Times New Roman" w:eastAsiaTheme="minorEastAsia" w:hAnsi="Times New Roman" w:cstheme="minorBidi"/>
          <w:b/>
          <w:bCs/>
          <w:noProof/>
          <w:sz w:val="24"/>
          <w:lang w:val="en-IE" w:eastAsia="zh-CN"/>
        </w:rPr>
        <w:t>Communication on tackling COVID-19 disinformation</w:t>
      </w:r>
      <w:r w:rsidR="00215B79" w:rsidRPr="00BD00A9">
        <w:rPr>
          <w:rStyle w:val="FootnoteReference"/>
          <w:rFonts w:ascii="Times New Roman" w:eastAsiaTheme="minorEastAsia" w:hAnsi="Times New Roman" w:cstheme="minorBidi"/>
          <w:noProof/>
          <w:sz w:val="24"/>
          <w:lang w:val="en-IE" w:eastAsia="zh-CN"/>
        </w:rPr>
        <w:footnoteReference w:id="119"/>
      </w:r>
      <w:r w:rsidR="00023A9E" w:rsidRPr="00BD00A9">
        <w:rPr>
          <w:rFonts w:ascii="Times New Roman" w:eastAsiaTheme="minorEastAsia" w:hAnsi="Times New Roman" w:cstheme="minorBidi"/>
          <w:noProof/>
          <w:sz w:val="24"/>
          <w:lang w:val="en-IE" w:eastAsia="zh-CN"/>
        </w:rPr>
        <w:t xml:space="preserve">, addressing the negative impact disinformation can have on democratic institutions and societies. </w:t>
      </w:r>
    </w:p>
    <w:p w14:paraId="5A89F4B8" w14:textId="4FDE779E" w:rsidR="00C0377F" w:rsidRPr="00BD00A9" w:rsidRDefault="00D15E24" w:rsidP="006B66AB">
      <w:pPr>
        <w:pStyle w:val="Briefinglist1"/>
        <w:spacing w:before="120" w:line="276" w:lineRule="auto"/>
        <w:ind w:left="0" w:firstLine="0"/>
        <w:rPr>
          <w:rFonts w:ascii="Times New Roman" w:eastAsiaTheme="minorEastAsia" w:hAnsi="Times New Roman" w:cstheme="minorBidi"/>
          <w:noProof/>
          <w:sz w:val="24"/>
          <w:lang w:val="en-IE" w:eastAsia="zh-CN"/>
        </w:rPr>
      </w:pPr>
      <w:r w:rsidRPr="00BD00A9">
        <w:rPr>
          <w:rFonts w:ascii="Times New Roman" w:eastAsiaTheme="minorEastAsia" w:hAnsi="Times New Roman" w:cstheme="minorBidi"/>
          <w:noProof/>
          <w:sz w:val="24"/>
          <w:lang w:val="en-IE" w:eastAsia="zh-CN"/>
        </w:rPr>
        <w:t>On 2 December 2020, t</w:t>
      </w:r>
      <w:r w:rsidR="00C0377F" w:rsidRPr="00BD00A9">
        <w:rPr>
          <w:rFonts w:ascii="Times New Roman" w:eastAsiaTheme="minorEastAsia" w:hAnsi="Times New Roman" w:cstheme="minorBidi"/>
          <w:noProof/>
          <w:sz w:val="24"/>
          <w:lang w:val="en-IE" w:eastAsia="zh-CN"/>
        </w:rPr>
        <w:t xml:space="preserve">he Commission presented its </w:t>
      </w:r>
      <w:hyperlink r:id="rId15" w:history="1">
        <w:r w:rsidR="00C0377F" w:rsidRPr="00BD00A9">
          <w:rPr>
            <w:rFonts w:ascii="Times New Roman" w:eastAsiaTheme="minorEastAsia" w:hAnsi="Times New Roman"/>
            <w:b/>
            <w:bCs/>
            <w:noProof/>
            <w:sz w:val="24"/>
            <w:lang w:val="en-IE" w:eastAsia="zh-CN"/>
          </w:rPr>
          <w:t>European Democracy Action Plan</w:t>
        </w:r>
      </w:hyperlink>
      <w:r w:rsidR="00C0377F" w:rsidRPr="00BD00A9">
        <w:rPr>
          <w:rStyle w:val="FootnoteReference"/>
          <w:rFonts w:ascii="Times New Roman" w:eastAsiaTheme="minorEastAsia" w:hAnsi="Times New Roman"/>
          <w:noProof/>
          <w:sz w:val="24"/>
          <w:lang w:val="en-IE" w:eastAsia="zh-CN"/>
        </w:rPr>
        <w:footnoteReference w:id="120"/>
      </w:r>
      <w:r w:rsidR="00C0377F" w:rsidRPr="00BD00A9">
        <w:rPr>
          <w:rFonts w:ascii="Times New Roman" w:eastAsiaTheme="minorEastAsia" w:hAnsi="Times New Roman" w:cstheme="minorBidi"/>
          <w:noProof/>
          <w:sz w:val="24"/>
          <w:lang w:val="en-IE" w:eastAsia="zh-CN"/>
        </w:rPr>
        <w:t xml:space="preserve">, </w:t>
      </w:r>
      <w:r w:rsidR="00586F7C" w:rsidRPr="00BD00A9">
        <w:rPr>
          <w:rFonts w:ascii="Times New Roman" w:eastAsiaTheme="minorEastAsia" w:hAnsi="Times New Roman" w:cstheme="minorBidi"/>
          <w:noProof/>
          <w:sz w:val="24"/>
          <w:lang w:val="en-IE" w:eastAsia="zh-CN"/>
        </w:rPr>
        <w:t xml:space="preserve">to </w:t>
      </w:r>
      <w:r w:rsidR="00ED7F66" w:rsidRPr="00BD00A9">
        <w:rPr>
          <w:rFonts w:ascii="Times New Roman" w:eastAsiaTheme="minorEastAsia" w:hAnsi="Times New Roman" w:cstheme="minorBidi"/>
          <w:noProof/>
          <w:sz w:val="24"/>
          <w:lang w:val="en-IE" w:eastAsia="zh-CN"/>
        </w:rPr>
        <w:t>promote free</w:t>
      </w:r>
      <w:r w:rsidR="00E13516" w:rsidRPr="00BD00A9">
        <w:rPr>
          <w:rFonts w:ascii="Times New Roman" w:eastAsiaTheme="minorEastAsia" w:hAnsi="Times New Roman" w:cstheme="minorBidi"/>
          <w:noProof/>
          <w:sz w:val="24"/>
          <w:lang w:val="en-IE" w:eastAsia="zh-CN"/>
        </w:rPr>
        <w:t>,</w:t>
      </w:r>
      <w:r w:rsidR="00F21108" w:rsidRPr="00BD00A9">
        <w:rPr>
          <w:rFonts w:ascii="Times New Roman" w:eastAsiaTheme="minorEastAsia" w:hAnsi="Times New Roman" w:cstheme="minorBidi"/>
          <w:noProof/>
          <w:sz w:val="24"/>
          <w:lang w:val="en-IE" w:eastAsia="zh-CN"/>
        </w:rPr>
        <w:t xml:space="preserve"> </w:t>
      </w:r>
      <w:r w:rsidR="00ED7F66" w:rsidRPr="00BD00A9">
        <w:rPr>
          <w:rFonts w:ascii="Times New Roman" w:eastAsiaTheme="minorEastAsia" w:hAnsi="Times New Roman" w:cstheme="minorBidi"/>
          <w:noProof/>
          <w:sz w:val="24"/>
          <w:lang w:val="en-IE" w:eastAsia="zh-CN"/>
        </w:rPr>
        <w:t xml:space="preserve">fair </w:t>
      </w:r>
      <w:r w:rsidR="00E13516" w:rsidRPr="00BD00A9">
        <w:rPr>
          <w:rFonts w:ascii="Times New Roman" w:eastAsiaTheme="minorEastAsia" w:hAnsi="Times New Roman" w:cstheme="minorBidi"/>
          <w:noProof/>
          <w:sz w:val="24"/>
          <w:lang w:val="en-IE" w:eastAsia="zh-CN"/>
        </w:rPr>
        <w:t xml:space="preserve">and resilient </w:t>
      </w:r>
      <w:r w:rsidR="00ED7F66" w:rsidRPr="00BD00A9">
        <w:rPr>
          <w:rFonts w:ascii="Times New Roman" w:eastAsiaTheme="minorEastAsia" w:hAnsi="Times New Roman" w:cstheme="minorBidi"/>
          <w:noProof/>
          <w:sz w:val="24"/>
          <w:lang w:val="en-IE" w:eastAsia="zh-CN"/>
        </w:rPr>
        <w:t xml:space="preserve">elections and strong democratic participation, </w:t>
      </w:r>
      <w:r w:rsidR="00E13516" w:rsidRPr="00BD00A9">
        <w:rPr>
          <w:rFonts w:ascii="Times New Roman" w:eastAsiaTheme="minorEastAsia" w:hAnsi="Times New Roman" w:cstheme="minorBidi"/>
          <w:noProof/>
          <w:sz w:val="24"/>
          <w:lang w:val="en-IE" w:eastAsia="zh-CN"/>
        </w:rPr>
        <w:t xml:space="preserve">protect </w:t>
      </w:r>
      <w:r w:rsidR="00ED7F66" w:rsidRPr="00BD00A9">
        <w:rPr>
          <w:rFonts w:ascii="Times New Roman" w:eastAsiaTheme="minorEastAsia" w:hAnsi="Times New Roman" w:cstheme="minorBidi"/>
          <w:noProof/>
          <w:sz w:val="24"/>
          <w:lang w:val="en-IE" w:eastAsia="zh-CN"/>
        </w:rPr>
        <w:t>media</w:t>
      </w:r>
      <w:r w:rsidR="00E13516" w:rsidRPr="00BD00A9">
        <w:rPr>
          <w:rFonts w:ascii="Times New Roman" w:eastAsiaTheme="minorEastAsia" w:hAnsi="Times New Roman" w:cstheme="minorBidi"/>
          <w:noProof/>
          <w:sz w:val="24"/>
          <w:lang w:val="en-IE" w:eastAsia="zh-CN"/>
        </w:rPr>
        <w:t xml:space="preserve"> freedom and pluralism</w:t>
      </w:r>
      <w:r w:rsidR="00ED7F66" w:rsidRPr="00BD00A9">
        <w:rPr>
          <w:rFonts w:ascii="Times New Roman" w:eastAsiaTheme="minorEastAsia" w:hAnsi="Times New Roman" w:cstheme="minorBidi"/>
          <w:noProof/>
          <w:sz w:val="24"/>
          <w:lang w:val="en-IE" w:eastAsia="zh-CN"/>
        </w:rPr>
        <w:t xml:space="preserve"> and counter disinformation.</w:t>
      </w:r>
      <w:r w:rsidR="00ED7F66" w:rsidRPr="00BD00A9" w:rsidDel="00ED7F66">
        <w:rPr>
          <w:rFonts w:ascii="Times New Roman" w:eastAsiaTheme="minorEastAsia" w:hAnsi="Times New Roman" w:cstheme="minorBidi"/>
          <w:noProof/>
          <w:sz w:val="24"/>
          <w:lang w:val="en-IE" w:eastAsia="zh-CN"/>
        </w:rPr>
        <w:t xml:space="preserve"> </w:t>
      </w:r>
      <w:r w:rsidR="00E13516" w:rsidRPr="00BD00A9">
        <w:rPr>
          <w:rFonts w:ascii="Times New Roman" w:eastAsiaTheme="minorEastAsia" w:hAnsi="Times New Roman" w:cstheme="minorBidi"/>
          <w:noProof/>
          <w:sz w:val="24"/>
          <w:lang w:val="en-IE" w:eastAsia="zh-CN"/>
        </w:rPr>
        <w:t xml:space="preserve">This is coupled with an increasing focus on bolstering societal resilience through </w:t>
      </w:r>
      <w:r w:rsidR="00C0377F" w:rsidRPr="00BD00A9">
        <w:rPr>
          <w:rFonts w:ascii="Times New Roman" w:eastAsiaTheme="minorEastAsia" w:hAnsi="Times New Roman" w:cstheme="minorBidi"/>
          <w:noProof/>
          <w:sz w:val="24"/>
          <w:lang w:val="en-IE" w:eastAsia="zh-CN"/>
        </w:rPr>
        <w:t xml:space="preserve">cross-cutting </w:t>
      </w:r>
      <w:r w:rsidR="002B4A8B" w:rsidRPr="00BD00A9">
        <w:rPr>
          <w:rFonts w:ascii="Times New Roman" w:eastAsiaTheme="minorEastAsia" w:hAnsi="Times New Roman" w:cstheme="minorBidi"/>
          <w:noProof/>
          <w:sz w:val="24"/>
          <w:lang w:val="en-IE" w:eastAsia="zh-CN"/>
        </w:rPr>
        <w:t>support</w:t>
      </w:r>
      <w:r w:rsidR="00C0377F" w:rsidRPr="00BD00A9">
        <w:rPr>
          <w:rFonts w:ascii="Times New Roman" w:eastAsiaTheme="minorEastAsia" w:hAnsi="Times New Roman" w:cstheme="minorBidi"/>
          <w:noProof/>
          <w:sz w:val="24"/>
          <w:lang w:val="en-IE" w:eastAsia="zh-CN"/>
        </w:rPr>
        <w:t xml:space="preserve"> </w:t>
      </w:r>
      <w:r w:rsidRPr="00BD00A9">
        <w:rPr>
          <w:rFonts w:ascii="Times New Roman" w:eastAsiaTheme="minorEastAsia" w:hAnsi="Times New Roman" w:cstheme="minorBidi"/>
          <w:noProof/>
          <w:sz w:val="24"/>
          <w:lang w:val="en-IE" w:eastAsia="zh-CN"/>
        </w:rPr>
        <w:t>for</w:t>
      </w:r>
      <w:r w:rsidR="00C0377F" w:rsidRPr="00BD00A9">
        <w:rPr>
          <w:rFonts w:ascii="Times New Roman" w:eastAsiaTheme="minorEastAsia" w:hAnsi="Times New Roman" w:cstheme="minorBidi"/>
          <w:noProof/>
          <w:sz w:val="24"/>
          <w:lang w:val="en-IE" w:eastAsia="zh-CN"/>
        </w:rPr>
        <w:t xml:space="preserve"> active citizenship and civil society engagement, in complementarity with the </w:t>
      </w:r>
      <w:r w:rsidRPr="00BD00A9">
        <w:rPr>
          <w:rFonts w:ascii="Times New Roman" w:eastAsiaTheme="minorEastAsia" w:hAnsi="Times New Roman" w:cstheme="minorBidi"/>
          <w:noProof/>
          <w:sz w:val="24"/>
          <w:lang w:val="en-IE" w:eastAsia="zh-CN"/>
        </w:rPr>
        <w:t>‘</w:t>
      </w:r>
      <w:r w:rsidR="00C0377F" w:rsidRPr="00BD00A9">
        <w:rPr>
          <w:rFonts w:ascii="Times New Roman" w:eastAsiaTheme="minorEastAsia" w:hAnsi="Times New Roman" w:cstheme="minorBidi"/>
          <w:noProof/>
          <w:sz w:val="24"/>
          <w:lang w:val="en-IE" w:eastAsia="zh-CN"/>
        </w:rPr>
        <w:t xml:space="preserve">Citizenship </w:t>
      </w:r>
      <w:r w:rsidR="00EF1C56" w:rsidRPr="00BD00A9">
        <w:rPr>
          <w:rFonts w:ascii="Times New Roman" w:eastAsiaTheme="minorEastAsia" w:hAnsi="Times New Roman" w:cstheme="minorBidi"/>
          <w:noProof/>
          <w:sz w:val="24"/>
          <w:lang w:val="en-IE" w:eastAsia="zh-CN"/>
        </w:rPr>
        <w:t>R</w:t>
      </w:r>
      <w:r w:rsidR="00C0377F" w:rsidRPr="00BD00A9">
        <w:rPr>
          <w:rFonts w:ascii="Times New Roman" w:eastAsiaTheme="minorEastAsia" w:hAnsi="Times New Roman" w:cstheme="minorBidi"/>
          <w:noProof/>
          <w:sz w:val="24"/>
          <w:lang w:val="en-IE" w:eastAsia="zh-CN"/>
        </w:rPr>
        <w:t>eport 2020</w:t>
      </w:r>
      <w:r w:rsidRPr="00BD00A9">
        <w:rPr>
          <w:rFonts w:ascii="Times New Roman" w:eastAsiaTheme="minorEastAsia" w:hAnsi="Times New Roman" w:cstheme="minorBidi"/>
          <w:noProof/>
          <w:sz w:val="24"/>
          <w:lang w:val="en-IE" w:eastAsia="zh-CN"/>
        </w:rPr>
        <w:t>’</w:t>
      </w:r>
      <w:r w:rsidR="00EF1C56" w:rsidRPr="00BD00A9">
        <w:rPr>
          <w:rFonts w:ascii="Times New Roman" w:eastAsiaTheme="minorEastAsia" w:hAnsi="Times New Roman" w:cstheme="minorBidi"/>
          <w:noProof/>
          <w:sz w:val="24"/>
          <w:lang w:val="en-IE" w:eastAsia="zh-CN"/>
        </w:rPr>
        <w:t xml:space="preserve"> Communication</w:t>
      </w:r>
      <w:r w:rsidR="00C0377F" w:rsidRPr="00BD00A9">
        <w:rPr>
          <w:rFonts w:ascii="Times New Roman" w:eastAsiaTheme="minorEastAsia" w:hAnsi="Times New Roman" w:cstheme="minorBidi"/>
          <w:noProof/>
          <w:sz w:val="24"/>
          <w:lang w:val="en-IE" w:eastAsia="zh-CN"/>
        </w:rPr>
        <w:t>.</w:t>
      </w:r>
      <w:r w:rsidR="00EF1C56" w:rsidRPr="00BD00A9">
        <w:rPr>
          <w:rFonts w:ascii="Times New Roman" w:eastAsiaTheme="minorEastAsia" w:hAnsi="Times New Roman" w:cstheme="minorBidi"/>
          <w:noProof/>
          <w:sz w:val="24"/>
          <w:lang w:val="en-IE" w:eastAsia="zh-CN"/>
        </w:rPr>
        <w:t xml:space="preserve"> </w:t>
      </w:r>
      <w:r w:rsidR="00C0377F" w:rsidRPr="00BD00A9">
        <w:rPr>
          <w:rFonts w:ascii="Times New Roman" w:eastAsiaTheme="minorEastAsia" w:hAnsi="Times New Roman" w:cstheme="minorBidi"/>
          <w:noProof/>
          <w:sz w:val="24"/>
          <w:lang w:val="en-IE" w:eastAsia="zh-CN"/>
        </w:rPr>
        <w:t xml:space="preserve">The Democracy Action Plan is constructed around three integrated themes: </w:t>
      </w:r>
    </w:p>
    <w:p w14:paraId="797E2968" w14:textId="249FBE0B" w:rsidR="00C0377F" w:rsidRPr="00BD00A9" w:rsidRDefault="00C0377F" w:rsidP="00C0377F">
      <w:pPr>
        <w:pStyle w:val="Briefinglist1"/>
        <w:numPr>
          <w:ilvl w:val="0"/>
          <w:numId w:val="12"/>
        </w:numPr>
        <w:spacing w:before="120" w:line="276" w:lineRule="auto"/>
        <w:rPr>
          <w:rFonts w:ascii="Times New Roman" w:eastAsiaTheme="minorEastAsia" w:hAnsi="Times New Roman" w:cstheme="minorBidi"/>
          <w:noProof/>
          <w:sz w:val="24"/>
          <w:lang w:val="en-IE" w:eastAsia="zh-CN"/>
        </w:rPr>
      </w:pPr>
      <w:r w:rsidRPr="00BD00A9">
        <w:rPr>
          <w:rFonts w:ascii="Times New Roman" w:eastAsiaTheme="minorEastAsia" w:hAnsi="Times New Roman" w:cstheme="minorBidi"/>
          <w:noProof/>
          <w:sz w:val="24"/>
          <w:lang w:val="en-IE" w:eastAsia="zh-CN"/>
        </w:rPr>
        <w:t>elect</w:t>
      </w:r>
      <w:r w:rsidR="00D15E24" w:rsidRPr="00BD00A9">
        <w:rPr>
          <w:rFonts w:ascii="Times New Roman" w:eastAsiaTheme="minorEastAsia" w:hAnsi="Times New Roman" w:cstheme="minorBidi"/>
          <w:noProof/>
          <w:sz w:val="24"/>
          <w:lang w:val="en-IE" w:eastAsia="zh-CN"/>
        </w:rPr>
        <w:t>oral</w:t>
      </w:r>
      <w:r w:rsidRPr="00BD00A9">
        <w:rPr>
          <w:rFonts w:ascii="Times New Roman" w:eastAsiaTheme="minorEastAsia" w:hAnsi="Times New Roman" w:cstheme="minorBidi"/>
          <w:noProof/>
          <w:sz w:val="24"/>
          <w:lang w:val="en-IE" w:eastAsia="zh-CN"/>
        </w:rPr>
        <w:t xml:space="preserve"> integrity and how to ensure </w:t>
      </w:r>
      <w:r w:rsidR="00D15E24" w:rsidRPr="00BD00A9">
        <w:rPr>
          <w:rFonts w:ascii="Times New Roman" w:eastAsiaTheme="minorEastAsia" w:hAnsi="Times New Roman" w:cstheme="minorBidi"/>
          <w:noProof/>
          <w:sz w:val="24"/>
          <w:lang w:val="en-IE" w:eastAsia="zh-CN"/>
        </w:rPr>
        <w:t xml:space="preserve">that </w:t>
      </w:r>
      <w:r w:rsidRPr="00BD00A9">
        <w:rPr>
          <w:rFonts w:ascii="Times New Roman" w:eastAsiaTheme="minorEastAsia" w:hAnsi="Times New Roman" w:cstheme="minorBidi"/>
          <w:noProof/>
          <w:sz w:val="24"/>
          <w:lang w:val="en-IE" w:eastAsia="zh-CN"/>
        </w:rPr>
        <w:t>electoral systems are free and fair, including key issues such as the transparency of political advertising online, possible threats to the integrity of elections and the role of European political parties;</w:t>
      </w:r>
    </w:p>
    <w:p w14:paraId="78077091" w14:textId="6B1F1156" w:rsidR="00C0377F" w:rsidRPr="00BD00A9" w:rsidRDefault="00C0377F" w:rsidP="00C0377F">
      <w:pPr>
        <w:pStyle w:val="Briefinglist1"/>
        <w:numPr>
          <w:ilvl w:val="0"/>
          <w:numId w:val="12"/>
        </w:numPr>
        <w:spacing w:before="120" w:line="276" w:lineRule="auto"/>
        <w:rPr>
          <w:rFonts w:ascii="Times New Roman" w:eastAsiaTheme="minorEastAsia" w:hAnsi="Times New Roman" w:cstheme="minorBidi"/>
          <w:noProof/>
          <w:sz w:val="24"/>
          <w:lang w:val="en-IE" w:eastAsia="zh-CN"/>
        </w:rPr>
      </w:pPr>
      <w:r w:rsidRPr="00BD00A9">
        <w:rPr>
          <w:rFonts w:ascii="Times New Roman" w:eastAsiaTheme="minorEastAsia" w:hAnsi="Times New Roman" w:cstheme="minorBidi"/>
          <w:noProof/>
          <w:sz w:val="24"/>
          <w:lang w:val="en-IE" w:eastAsia="zh-CN"/>
        </w:rPr>
        <w:t xml:space="preserve">strengthening freedom of expression and democratic debate, looking at media freedom and media pluralism, </w:t>
      </w:r>
      <w:r w:rsidR="00D15E24" w:rsidRPr="00BD00A9">
        <w:rPr>
          <w:rFonts w:ascii="Times New Roman" w:eastAsiaTheme="minorEastAsia" w:hAnsi="Times New Roman" w:cstheme="minorBidi"/>
          <w:noProof/>
          <w:sz w:val="24"/>
          <w:lang w:val="en-IE" w:eastAsia="zh-CN"/>
        </w:rPr>
        <w:t>and</w:t>
      </w:r>
      <w:r w:rsidRPr="00BD00A9">
        <w:rPr>
          <w:rFonts w:ascii="Times New Roman" w:eastAsiaTheme="minorEastAsia" w:hAnsi="Times New Roman" w:cstheme="minorBidi"/>
          <w:noProof/>
          <w:sz w:val="24"/>
          <w:lang w:val="en-IE" w:eastAsia="zh-CN"/>
        </w:rPr>
        <w:t xml:space="preserve"> the role of civil society; </w:t>
      </w:r>
      <w:r w:rsidR="00DD383D">
        <w:rPr>
          <w:rFonts w:ascii="Times New Roman" w:eastAsiaTheme="minorEastAsia" w:hAnsi="Times New Roman" w:cstheme="minorBidi"/>
          <w:noProof/>
          <w:sz w:val="24"/>
          <w:lang w:val="en-IE" w:eastAsia="zh-CN"/>
        </w:rPr>
        <w:t>and</w:t>
      </w:r>
    </w:p>
    <w:p w14:paraId="50765932" w14:textId="78D950D5" w:rsidR="00C0377F" w:rsidRPr="00BD00A9" w:rsidRDefault="00C0377F" w:rsidP="00C0377F">
      <w:pPr>
        <w:pStyle w:val="Briefinglist1"/>
        <w:numPr>
          <w:ilvl w:val="0"/>
          <w:numId w:val="12"/>
        </w:numPr>
        <w:spacing w:before="120" w:line="276" w:lineRule="auto"/>
        <w:rPr>
          <w:rFonts w:ascii="Times New Roman" w:eastAsiaTheme="minorEastAsia" w:hAnsi="Times New Roman" w:cstheme="minorBidi"/>
          <w:noProof/>
          <w:sz w:val="24"/>
          <w:lang w:val="en-IE" w:eastAsia="zh-CN"/>
        </w:rPr>
      </w:pPr>
      <w:r w:rsidRPr="00BD00A9">
        <w:rPr>
          <w:rFonts w:ascii="Times New Roman" w:eastAsiaTheme="minorEastAsia" w:hAnsi="Times New Roman" w:cstheme="minorBidi"/>
          <w:noProof/>
          <w:sz w:val="24"/>
          <w:lang w:val="en-IE" w:eastAsia="zh-CN"/>
        </w:rPr>
        <w:t xml:space="preserve">tackling disinformation in a coherent manner considering the need to </w:t>
      </w:r>
      <w:r w:rsidR="00D15E24" w:rsidRPr="00BD00A9">
        <w:rPr>
          <w:rFonts w:ascii="Times New Roman" w:eastAsiaTheme="minorEastAsia" w:hAnsi="Times New Roman" w:cstheme="minorBidi"/>
          <w:noProof/>
          <w:sz w:val="24"/>
          <w:lang w:val="en-IE" w:eastAsia="zh-CN"/>
        </w:rPr>
        <w:t>examine</w:t>
      </w:r>
      <w:r w:rsidRPr="00BD00A9">
        <w:rPr>
          <w:rFonts w:ascii="Times New Roman" w:eastAsiaTheme="minorEastAsia" w:hAnsi="Times New Roman" w:cstheme="minorBidi"/>
          <w:noProof/>
          <w:sz w:val="24"/>
          <w:lang w:val="en-IE" w:eastAsia="zh-CN"/>
        </w:rPr>
        <w:t xml:space="preserve"> all the means used to interfere in our democratic system.</w:t>
      </w:r>
    </w:p>
    <w:p w14:paraId="3F376CCD" w14:textId="77777777" w:rsidR="00B11DE5" w:rsidRDefault="00C0377F" w:rsidP="5E653C9C">
      <w:pPr>
        <w:pStyle w:val="Briefinglist1"/>
        <w:tabs>
          <w:tab w:val="clear" w:pos="284"/>
        </w:tabs>
        <w:spacing w:before="120" w:line="276" w:lineRule="auto"/>
        <w:ind w:left="0" w:firstLine="0"/>
        <w:rPr>
          <w:rFonts w:ascii="Times New Roman" w:eastAsiaTheme="minorEastAsia" w:hAnsi="Times New Roman" w:cstheme="minorBidi"/>
          <w:noProof/>
          <w:sz w:val="24"/>
          <w:lang w:val="en-IE" w:eastAsia="zh-CN"/>
        </w:rPr>
      </w:pPr>
      <w:r w:rsidRPr="00BD00A9">
        <w:rPr>
          <w:rFonts w:ascii="Times New Roman" w:eastAsiaTheme="minorEastAsia" w:hAnsi="Times New Roman" w:cstheme="minorBidi"/>
          <w:noProof/>
          <w:sz w:val="24"/>
          <w:lang w:val="en-IE" w:eastAsia="zh-CN"/>
        </w:rPr>
        <w:t xml:space="preserve">The main aim of the European Democracy Action Plan is to empower citizens to make their </w:t>
      </w:r>
      <w:r w:rsidR="002B4A8B" w:rsidRPr="00BD00A9">
        <w:rPr>
          <w:rFonts w:ascii="Times New Roman" w:eastAsiaTheme="minorEastAsia" w:hAnsi="Times New Roman" w:cstheme="minorBidi"/>
          <w:noProof/>
          <w:sz w:val="24"/>
          <w:lang w:val="en-IE" w:eastAsia="zh-CN"/>
        </w:rPr>
        <w:t xml:space="preserve">democratic </w:t>
      </w:r>
      <w:r w:rsidRPr="00BD00A9">
        <w:rPr>
          <w:rFonts w:ascii="Times New Roman" w:eastAsiaTheme="minorEastAsia" w:hAnsi="Times New Roman" w:cstheme="minorBidi"/>
          <w:noProof/>
          <w:sz w:val="24"/>
          <w:lang w:val="en-IE" w:eastAsia="zh-CN"/>
        </w:rPr>
        <w:t xml:space="preserve">choices in the public space </w:t>
      </w:r>
      <w:r w:rsidR="009F5FF9" w:rsidRPr="00BD00A9">
        <w:rPr>
          <w:rFonts w:ascii="Times New Roman" w:eastAsiaTheme="minorEastAsia" w:hAnsi="Times New Roman" w:cstheme="minorBidi"/>
          <w:noProof/>
          <w:sz w:val="24"/>
          <w:lang w:val="en-IE" w:eastAsia="zh-CN"/>
        </w:rPr>
        <w:t xml:space="preserve">with best knowledge and </w:t>
      </w:r>
      <w:r w:rsidRPr="00BD00A9">
        <w:rPr>
          <w:rFonts w:ascii="Times New Roman" w:eastAsiaTheme="minorEastAsia" w:hAnsi="Times New Roman" w:cstheme="minorBidi"/>
          <w:noProof/>
          <w:sz w:val="24"/>
          <w:lang w:val="en-IE" w:eastAsia="zh-CN"/>
        </w:rPr>
        <w:t>free</w:t>
      </w:r>
      <w:r w:rsidR="009F5FF9" w:rsidRPr="00BD00A9">
        <w:rPr>
          <w:rFonts w:ascii="Times New Roman" w:eastAsiaTheme="minorEastAsia" w:hAnsi="Times New Roman" w:cstheme="minorBidi"/>
          <w:noProof/>
          <w:sz w:val="24"/>
          <w:lang w:val="en-IE" w:eastAsia="zh-CN"/>
        </w:rPr>
        <w:t xml:space="preserve"> from any </w:t>
      </w:r>
      <w:r w:rsidRPr="00BD00A9">
        <w:rPr>
          <w:rFonts w:ascii="Times New Roman" w:eastAsiaTheme="minorEastAsia" w:hAnsi="Times New Roman" w:cstheme="minorBidi"/>
          <w:noProof/>
          <w:sz w:val="24"/>
          <w:lang w:val="en-IE" w:eastAsia="zh-CN"/>
        </w:rPr>
        <w:t>manipulation</w:t>
      </w:r>
      <w:r w:rsidR="009F5FF9" w:rsidRPr="00BD00A9">
        <w:rPr>
          <w:rFonts w:ascii="Times New Roman" w:eastAsiaTheme="minorEastAsia" w:hAnsi="Times New Roman" w:cstheme="minorBidi"/>
          <w:noProof/>
          <w:sz w:val="24"/>
          <w:lang w:val="en-IE" w:eastAsia="zh-CN"/>
        </w:rPr>
        <w:t xml:space="preserve"> and interference</w:t>
      </w:r>
      <w:r w:rsidRPr="00BD00A9">
        <w:rPr>
          <w:rFonts w:ascii="Times New Roman" w:eastAsiaTheme="minorEastAsia" w:hAnsi="Times New Roman" w:cstheme="minorBidi"/>
          <w:noProof/>
          <w:sz w:val="24"/>
          <w:lang w:val="en-IE" w:eastAsia="zh-CN"/>
        </w:rPr>
        <w:t xml:space="preserve">. </w:t>
      </w:r>
      <w:r w:rsidR="00206677" w:rsidRPr="00BD00A9">
        <w:rPr>
          <w:rFonts w:ascii="Times New Roman" w:eastAsiaTheme="minorEastAsia" w:hAnsi="Times New Roman" w:cstheme="minorBidi"/>
          <w:noProof/>
          <w:sz w:val="24"/>
          <w:lang w:val="en-IE" w:eastAsia="zh-CN"/>
        </w:rPr>
        <w:t xml:space="preserve">This is also reiterated in the European Declaration on Digital Rights and Principles for the digital decade which sets out commitments to ensure that citizens </w:t>
      </w:r>
      <w:r w:rsidR="00424880">
        <w:rPr>
          <w:rFonts w:ascii="Times New Roman" w:eastAsiaTheme="minorEastAsia" w:hAnsi="Times New Roman" w:cstheme="minorBidi"/>
          <w:noProof/>
          <w:sz w:val="24"/>
          <w:lang w:val="en-IE" w:eastAsia="zh-CN"/>
        </w:rPr>
        <w:t>acquire and share the necessary digital skills and competences to</w:t>
      </w:r>
      <w:r w:rsidR="00206677" w:rsidRPr="00BD00A9">
        <w:rPr>
          <w:rFonts w:ascii="Times New Roman" w:eastAsiaTheme="minorEastAsia" w:hAnsi="Times New Roman" w:cstheme="minorBidi"/>
          <w:noProof/>
          <w:sz w:val="24"/>
          <w:lang w:val="en-IE" w:eastAsia="zh-CN"/>
        </w:rPr>
        <w:t xml:space="preserve"> engage in the democratic process at all levels, and be protected from disinformation, information manipulation and other forms of harmful content</w:t>
      </w:r>
      <w:r w:rsidR="00424880">
        <w:rPr>
          <w:rFonts w:ascii="Times New Roman" w:eastAsiaTheme="minorEastAsia" w:hAnsi="Times New Roman" w:cstheme="minorBidi"/>
          <w:noProof/>
          <w:sz w:val="24"/>
          <w:lang w:val="en-IE" w:eastAsia="zh-CN"/>
        </w:rPr>
        <w:t xml:space="preserve"> online</w:t>
      </w:r>
      <w:r w:rsidR="00206677" w:rsidRPr="00BD00A9">
        <w:rPr>
          <w:rFonts w:ascii="Times New Roman" w:eastAsiaTheme="minorEastAsia" w:hAnsi="Times New Roman" w:cstheme="minorBidi"/>
          <w:noProof/>
          <w:sz w:val="24"/>
          <w:lang w:val="en-IE" w:eastAsia="zh-CN"/>
        </w:rPr>
        <w:t>.</w:t>
      </w:r>
    </w:p>
    <w:p w14:paraId="7DD05727" w14:textId="143E6519" w:rsidR="0082334E" w:rsidRPr="00B11DE5" w:rsidRDefault="00D534CF" w:rsidP="5E653C9C">
      <w:pPr>
        <w:pStyle w:val="Briefinglist1"/>
        <w:tabs>
          <w:tab w:val="clear" w:pos="284"/>
        </w:tabs>
        <w:spacing w:before="120" w:line="276" w:lineRule="auto"/>
        <w:ind w:left="0" w:firstLine="0"/>
        <w:rPr>
          <w:rFonts w:ascii="Times New Roman" w:eastAsiaTheme="minorEastAsia" w:hAnsi="Times New Roman" w:cstheme="minorBidi"/>
          <w:noProof/>
          <w:sz w:val="24"/>
          <w:lang w:val="en-IE" w:eastAsia="zh-CN"/>
        </w:rPr>
      </w:pPr>
      <w:r w:rsidRPr="00BD00A9">
        <w:rPr>
          <w:rFonts w:ascii="Times New Roman" w:eastAsiaTheme="minorEastAsia" w:hAnsi="Times New Roman"/>
          <w:noProof/>
          <w:sz w:val="24"/>
          <w:lang w:val="en-IE" w:eastAsia="zh-CN"/>
        </w:rPr>
        <w:t>With the strengthened Code of Practice on Disinformation and the DSA</w:t>
      </w:r>
      <w:r w:rsidR="00DB0862">
        <w:rPr>
          <w:rFonts w:ascii="Times New Roman" w:eastAsiaTheme="minorEastAsia" w:hAnsi="Times New Roman"/>
          <w:b/>
          <w:bCs/>
          <w:noProof/>
          <w:sz w:val="24"/>
          <w:lang w:val="en-IE" w:eastAsia="zh-CN"/>
        </w:rPr>
        <w:t>,</w:t>
      </w:r>
      <w:r w:rsidRPr="00BD00A9">
        <w:rPr>
          <w:rFonts w:ascii="Times New Roman" w:eastAsiaTheme="minorEastAsia" w:hAnsi="Times New Roman"/>
          <w:noProof/>
          <w:sz w:val="24"/>
          <w:lang w:val="en-IE" w:eastAsia="zh-CN"/>
        </w:rPr>
        <w:t xml:space="preserve"> the EU has taken </w:t>
      </w:r>
      <w:r w:rsidR="00B2519F" w:rsidRPr="00BD00A9">
        <w:rPr>
          <w:rFonts w:ascii="Times New Roman" w:eastAsiaTheme="minorEastAsia" w:hAnsi="Times New Roman"/>
          <w:noProof/>
          <w:sz w:val="24"/>
          <w:lang w:val="en-IE" w:eastAsia="zh-CN"/>
        </w:rPr>
        <w:t>important</w:t>
      </w:r>
      <w:r w:rsidRPr="00BD00A9">
        <w:rPr>
          <w:rFonts w:ascii="Times New Roman" w:eastAsiaTheme="minorEastAsia" w:hAnsi="Times New Roman"/>
          <w:noProof/>
          <w:sz w:val="24"/>
          <w:lang w:val="en-IE" w:eastAsia="zh-CN"/>
        </w:rPr>
        <w:t xml:space="preserve"> measures to make the online environment more transparent, accountable and safer for citizens</w:t>
      </w:r>
      <w:r w:rsidR="00B2519F" w:rsidRPr="00BD00A9">
        <w:rPr>
          <w:rStyle w:val="FootnoteReference"/>
          <w:rFonts w:ascii="Times New Roman" w:eastAsiaTheme="minorEastAsia" w:hAnsi="Times New Roman"/>
          <w:noProof/>
          <w:sz w:val="24"/>
          <w:lang w:val="en-IE" w:eastAsia="zh-CN"/>
        </w:rPr>
        <w:footnoteReference w:id="121"/>
      </w:r>
      <w:r w:rsidRPr="00BD00A9">
        <w:rPr>
          <w:rFonts w:ascii="Times New Roman" w:eastAsiaTheme="minorEastAsia" w:hAnsi="Times New Roman"/>
          <w:noProof/>
          <w:sz w:val="24"/>
          <w:lang w:val="en-IE" w:eastAsia="zh-CN"/>
        </w:rPr>
        <w:t xml:space="preserve">. </w:t>
      </w:r>
      <w:r w:rsidR="00DB0862">
        <w:rPr>
          <w:rFonts w:ascii="Times New Roman" w:eastAsiaTheme="minorEastAsia" w:hAnsi="Times New Roman"/>
          <w:noProof/>
          <w:sz w:val="24"/>
          <w:lang w:eastAsia="zh-CN"/>
        </w:rPr>
        <w:t>Notably, risks that have any actual or foreseeable negative effects on civic discourse and electoral processes on designated Very Large Online Platforms and Search Engines must be diligently identified, analysed and assessed, and effectively mitigated. The DSA obligations started applying to 19</w:t>
      </w:r>
      <w:r w:rsidR="00DB0862" w:rsidRPr="00777173">
        <w:rPr>
          <w:rFonts w:ascii="Times New Roman" w:eastAsiaTheme="minorEastAsia" w:hAnsi="Times New Roman"/>
          <w:noProof/>
          <w:sz w:val="24"/>
          <w:lang w:eastAsia="zh-CN"/>
        </w:rPr>
        <w:t xml:space="preserve"> </w:t>
      </w:r>
      <w:r w:rsidR="00DB0862">
        <w:rPr>
          <w:rFonts w:ascii="Times New Roman" w:eastAsiaTheme="minorEastAsia" w:hAnsi="Times New Roman"/>
          <w:noProof/>
          <w:sz w:val="24"/>
          <w:lang w:eastAsia="zh-CN"/>
        </w:rPr>
        <w:t xml:space="preserve">Very Large Online Platforms and Search Engines at the end of August 2023. In this context, the Commission has been monitoring actions taken by platforms to safeguard the integrity of recent elections, notably in Slovakia, Poland, Luxembourg, and the Netherlands, in cooperation with the relevant national authorities. </w:t>
      </w:r>
    </w:p>
    <w:p w14:paraId="727B3333" w14:textId="77777777" w:rsidR="00DD383D" w:rsidRDefault="004C54A8" w:rsidP="002032E1">
      <w:pPr>
        <w:spacing w:after="240" w:line="276" w:lineRule="auto"/>
        <w:jc w:val="both"/>
        <w:rPr>
          <w:rFonts w:ascii="Times New Roman" w:eastAsiaTheme="minorEastAsia" w:hAnsi="Times New Roman"/>
          <w:noProof/>
          <w:sz w:val="24"/>
          <w:szCs w:val="24"/>
          <w:lang w:val="en-IE" w:eastAsia="zh-CN"/>
        </w:rPr>
      </w:pPr>
      <w:r w:rsidRPr="00BD00A9">
        <w:rPr>
          <w:rFonts w:ascii="Times New Roman" w:eastAsiaTheme="minorEastAsia" w:hAnsi="Times New Roman"/>
          <w:noProof/>
          <w:sz w:val="24"/>
          <w:szCs w:val="24"/>
          <w:lang w:val="en-IE" w:eastAsia="zh-CN"/>
        </w:rPr>
        <w:t>O</w:t>
      </w:r>
      <w:r w:rsidR="00EF1C56" w:rsidRPr="00BD00A9">
        <w:rPr>
          <w:rFonts w:ascii="Times New Roman" w:eastAsiaTheme="minorEastAsia" w:hAnsi="Times New Roman"/>
          <w:noProof/>
          <w:sz w:val="24"/>
          <w:szCs w:val="24"/>
          <w:lang w:val="en-IE" w:eastAsia="zh-CN"/>
        </w:rPr>
        <w:t>n 25 November 2021, the Commission adopted a package of measures to reinforce democracy and protect the integrity of elections</w:t>
      </w:r>
      <w:r w:rsidR="00EF1C56" w:rsidRPr="00BD00A9">
        <w:rPr>
          <w:rFonts w:ascii="Times New Roman" w:eastAsiaTheme="minorEastAsia" w:hAnsi="Times New Roman"/>
          <w:b/>
          <w:bCs/>
          <w:noProof/>
          <w:sz w:val="24"/>
          <w:szCs w:val="24"/>
          <w:lang w:val="en-IE" w:eastAsia="zh-CN"/>
        </w:rPr>
        <w:t xml:space="preserve">. </w:t>
      </w:r>
      <w:r w:rsidR="00EF1C56" w:rsidRPr="00BD00A9">
        <w:rPr>
          <w:rFonts w:ascii="Times New Roman" w:eastAsiaTheme="minorEastAsia" w:hAnsi="Times New Roman"/>
          <w:noProof/>
          <w:sz w:val="24"/>
          <w:szCs w:val="24"/>
          <w:lang w:val="en-IE" w:eastAsia="zh-CN"/>
        </w:rPr>
        <w:t xml:space="preserve">This includes a flagship legislative proposal on </w:t>
      </w:r>
      <w:r w:rsidR="00EF1C56" w:rsidRPr="00BD00A9">
        <w:rPr>
          <w:rFonts w:ascii="Times New Roman" w:eastAsiaTheme="minorEastAsia" w:hAnsi="Times New Roman"/>
          <w:b/>
          <w:bCs/>
          <w:noProof/>
          <w:sz w:val="24"/>
          <w:szCs w:val="24"/>
          <w:lang w:val="en-IE" w:eastAsia="zh-CN"/>
        </w:rPr>
        <w:t>transparency and targeting of political advertising</w:t>
      </w:r>
      <w:r w:rsidR="00EF1C56" w:rsidRPr="00BD00A9">
        <w:rPr>
          <w:rStyle w:val="FootnoteReference"/>
          <w:rFonts w:ascii="Times New Roman" w:eastAsiaTheme="minorEastAsia" w:hAnsi="Times New Roman"/>
          <w:noProof/>
          <w:sz w:val="24"/>
          <w:szCs w:val="24"/>
          <w:lang w:val="en-IE" w:eastAsia="zh-CN"/>
        </w:rPr>
        <w:footnoteReference w:id="122"/>
      </w:r>
      <w:r w:rsidR="00EF1C56" w:rsidRPr="00BD00A9">
        <w:rPr>
          <w:rFonts w:ascii="Times New Roman" w:eastAsiaTheme="minorEastAsia" w:hAnsi="Times New Roman"/>
          <w:noProof/>
          <w:sz w:val="24"/>
          <w:szCs w:val="24"/>
          <w:lang w:val="en-IE" w:eastAsia="zh-CN"/>
        </w:rPr>
        <w:t xml:space="preserve">. </w:t>
      </w:r>
      <w:r w:rsidR="002032E1" w:rsidRPr="00BD00A9">
        <w:rPr>
          <w:rFonts w:ascii="Times New Roman" w:eastAsiaTheme="minorEastAsia" w:hAnsi="Times New Roman"/>
          <w:noProof/>
          <w:sz w:val="24"/>
          <w:szCs w:val="24"/>
          <w:lang w:val="en-IE" w:eastAsia="zh-CN"/>
        </w:rPr>
        <w:t>On 6 November, a political agreement was reached between the European Parliament and the Council on the Regulation on transparency of political advertising. Once it is adopted, the measures will enter into application 18 months after they enter into force</w:t>
      </w:r>
      <w:r w:rsidR="004C6838" w:rsidRPr="00BD00A9">
        <w:rPr>
          <w:rStyle w:val="FootnoteReference"/>
          <w:rFonts w:ascii="Times New Roman" w:eastAsiaTheme="minorEastAsia" w:hAnsi="Times New Roman"/>
          <w:noProof/>
          <w:sz w:val="24"/>
          <w:szCs w:val="24"/>
          <w:lang w:val="en-IE" w:eastAsia="zh-CN"/>
        </w:rPr>
        <w:footnoteReference w:id="123"/>
      </w:r>
      <w:r w:rsidR="002032E1" w:rsidRPr="00BD00A9">
        <w:rPr>
          <w:rFonts w:ascii="Times New Roman" w:eastAsiaTheme="minorEastAsia" w:hAnsi="Times New Roman"/>
          <w:noProof/>
          <w:sz w:val="24"/>
          <w:szCs w:val="24"/>
          <w:lang w:val="en-IE" w:eastAsia="zh-CN"/>
        </w:rPr>
        <w:t>.</w:t>
      </w:r>
      <w:r w:rsidR="0036791F" w:rsidRPr="00BD00A9">
        <w:rPr>
          <w:rFonts w:ascii="Times New Roman" w:eastAsiaTheme="minorEastAsia" w:hAnsi="Times New Roman"/>
          <w:noProof/>
          <w:sz w:val="24"/>
          <w:szCs w:val="24"/>
          <w:lang w:val="en-IE" w:eastAsia="zh-CN"/>
        </w:rPr>
        <w:t xml:space="preserve"> </w:t>
      </w:r>
    </w:p>
    <w:p w14:paraId="66E971F0" w14:textId="7A42DF3D" w:rsidR="00EF1C56" w:rsidRPr="00BD00A9" w:rsidRDefault="002032E1" w:rsidP="002032E1">
      <w:pPr>
        <w:spacing w:after="240" w:line="276" w:lineRule="auto"/>
        <w:jc w:val="both"/>
        <w:rPr>
          <w:rFonts w:ascii="Times New Roman" w:eastAsiaTheme="minorEastAsia" w:hAnsi="Times New Roman"/>
          <w:noProof/>
          <w:sz w:val="24"/>
          <w:szCs w:val="24"/>
          <w:lang w:val="en-IE" w:eastAsia="zh-CN"/>
        </w:rPr>
      </w:pPr>
      <w:r w:rsidRPr="00BD00A9">
        <w:rPr>
          <w:rFonts w:ascii="Times New Roman" w:eastAsiaTheme="minorEastAsia" w:hAnsi="Times New Roman"/>
          <w:noProof/>
          <w:sz w:val="24"/>
          <w:szCs w:val="24"/>
          <w:lang w:val="en-IE" w:eastAsia="zh-CN"/>
        </w:rPr>
        <w:t xml:space="preserve">Under these new rules, political adverts will need to be clearly labelled as such and </w:t>
      </w:r>
      <w:r w:rsidR="004815F2" w:rsidRPr="00BD00A9">
        <w:rPr>
          <w:rFonts w:ascii="Times New Roman" w:eastAsiaTheme="minorEastAsia" w:hAnsi="Times New Roman"/>
          <w:noProof/>
          <w:sz w:val="24"/>
          <w:szCs w:val="24"/>
          <w:lang w:val="en-IE" w:eastAsia="zh-CN"/>
        </w:rPr>
        <w:t>will be required</w:t>
      </w:r>
      <w:r w:rsidRPr="00BD00A9">
        <w:rPr>
          <w:rFonts w:ascii="Times New Roman" w:eastAsiaTheme="minorEastAsia" w:hAnsi="Times New Roman"/>
          <w:noProof/>
          <w:sz w:val="24"/>
          <w:szCs w:val="24"/>
          <w:lang w:val="en-IE" w:eastAsia="zh-CN"/>
        </w:rPr>
        <w:t xml:space="preserve"> indicate who paid for them, how much, to which elections, referendum or regulatory process they are linked and whether they have been targeted.</w:t>
      </w:r>
      <w:r w:rsidR="0046225A" w:rsidRPr="00BD00A9">
        <w:rPr>
          <w:rFonts w:ascii="Times New Roman" w:eastAsiaTheme="minorEastAsia" w:hAnsi="Times New Roman"/>
          <w:noProof/>
          <w:sz w:val="24"/>
          <w:szCs w:val="24"/>
          <w:lang w:val="en-IE" w:eastAsia="zh-CN"/>
        </w:rPr>
        <w:t xml:space="preserve"> Further information will be available at transparency notices, accessible from the adverts.</w:t>
      </w:r>
      <w:r w:rsidRPr="00BD00A9">
        <w:rPr>
          <w:rFonts w:ascii="Times New Roman" w:eastAsiaTheme="minorEastAsia" w:hAnsi="Times New Roman"/>
          <w:noProof/>
          <w:sz w:val="24"/>
          <w:szCs w:val="24"/>
          <w:lang w:val="en-IE" w:eastAsia="zh-CN"/>
        </w:rPr>
        <w:t xml:space="preserve"> Citizens will be able to distinguish messages that seek to shape their political views and decisions.</w:t>
      </w:r>
      <w:r w:rsidR="0036791F" w:rsidRPr="00BD00A9">
        <w:rPr>
          <w:rFonts w:ascii="Times New Roman" w:eastAsiaTheme="minorEastAsia" w:hAnsi="Times New Roman"/>
          <w:noProof/>
          <w:sz w:val="24"/>
          <w:szCs w:val="24"/>
          <w:lang w:val="en-IE" w:eastAsia="zh-CN"/>
        </w:rPr>
        <w:t xml:space="preserve"> </w:t>
      </w:r>
      <w:r w:rsidR="00E8535F" w:rsidRPr="00BD00A9">
        <w:rPr>
          <w:rFonts w:ascii="Times New Roman" w:eastAsiaTheme="minorEastAsia" w:hAnsi="Times New Roman"/>
          <w:noProof/>
          <w:sz w:val="24"/>
          <w:szCs w:val="24"/>
          <w:lang w:val="en-IE" w:eastAsia="zh-CN"/>
        </w:rPr>
        <w:t xml:space="preserve">Specific information will need to be provided to the data subject including regarding the parameters being used to target individuals. </w:t>
      </w:r>
      <w:r w:rsidRPr="00BD00A9">
        <w:rPr>
          <w:rFonts w:ascii="Times New Roman" w:eastAsiaTheme="minorEastAsia" w:hAnsi="Times New Roman"/>
          <w:noProof/>
          <w:sz w:val="24"/>
          <w:szCs w:val="24"/>
          <w:lang w:val="en-IE" w:eastAsia="zh-CN"/>
        </w:rPr>
        <w:t xml:space="preserve">Targeting and </w:t>
      </w:r>
      <w:r w:rsidR="0036791F" w:rsidRPr="00BD00A9">
        <w:rPr>
          <w:rFonts w:ascii="Times New Roman" w:eastAsiaTheme="minorEastAsia" w:hAnsi="Times New Roman"/>
          <w:noProof/>
          <w:sz w:val="24"/>
          <w:szCs w:val="24"/>
          <w:lang w:val="en-IE" w:eastAsia="zh-CN"/>
        </w:rPr>
        <w:t>ad delivery</w:t>
      </w:r>
      <w:r w:rsidRPr="00BD00A9">
        <w:rPr>
          <w:rFonts w:ascii="Times New Roman" w:eastAsiaTheme="minorEastAsia" w:hAnsi="Times New Roman"/>
          <w:noProof/>
          <w:sz w:val="24"/>
          <w:szCs w:val="24"/>
          <w:lang w:val="en-IE" w:eastAsia="zh-CN"/>
        </w:rPr>
        <w:t xml:space="preserve"> techniques will </w:t>
      </w:r>
      <w:r w:rsidR="00E8535F" w:rsidRPr="00BD00A9">
        <w:rPr>
          <w:rFonts w:ascii="Times New Roman" w:eastAsiaTheme="minorEastAsia" w:hAnsi="Times New Roman"/>
          <w:noProof/>
          <w:sz w:val="24"/>
          <w:szCs w:val="24"/>
          <w:lang w:val="en-IE" w:eastAsia="zh-CN"/>
        </w:rPr>
        <w:t xml:space="preserve">be clearly framed and </w:t>
      </w:r>
      <w:r w:rsidRPr="00BD00A9">
        <w:rPr>
          <w:rFonts w:ascii="Times New Roman" w:eastAsiaTheme="minorEastAsia" w:hAnsi="Times New Roman"/>
          <w:noProof/>
          <w:sz w:val="24"/>
          <w:szCs w:val="24"/>
          <w:lang w:val="en-IE" w:eastAsia="zh-CN"/>
        </w:rPr>
        <w:t>only be available for online political advertising based on personal data collected from the data subject and subject to consent</w:t>
      </w:r>
      <w:r w:rsidR="0036791F" w:rsidRPr="00BD00A9">
        <w:rPr>
          <w:rFonts w:ascii="Times New Roman" w:eastAsiaTheme="minorEastAsia" w:hAnsi="Times New Roman"/>
          <w:noProof/>
          <w:sz w:val="24"/>
          <w:szCs w:val="24"/>
          <w:lang w:val="en-IE" w:eastAsia="zh-CN"/>
        </w:rPr>
        <w:t xml:space="preserve">. Targeting and ad delivery through profiling based on special categories of personal data will be </w:t>
      </w:r>
      <w:r w:rsidR="0046225A" w:rsidRPr="00BD00A9">
        <w:rPr>
          <w:rFonts w:ascii="Times New Roman" w:eastAsiaTheme="minorEastAsia" w:hAnsi="Times New Roman"/>
          <w:noProof/>
          <w:sz w:val="24"/>
          <w:szCs w:val="24"/>
          <w:lang w:val="en-IE" w:eastAsia="zh-CN"/>
        </w:rPr>
        <w:t>prohibited</w:t>
      </w:r>
      <w:r w:rsidR="0036791F" w:rsidRPr="00BD00A9">
        <w:rPr>
          <w:rFonts w:ascii="Times New Roman" w:eastAsiaTheme="minorEastAsia" w:hAnsi="Times New Roman"/>
          <w:noProof/>
          <w:sz w:val="24"/>
          <w:szCs w:val="24"/>
          <w:lang w:val="en-IE" w:eastAsia="zh-CN"/>
        </w:rPr>
        <w:t>.</w:t>
      </w:r>
      <w:r w:rsidRPr="00BD00A9">
        <w:rPr>
          <w:rFonts w:ascii="Times New Roman" w:eastAsiaTheme="minorEastAsia" w:hAnsi="Times New Roman"/>
          <w:noProof/>
          <w:sz w:val="24"/>
          <w:szCs w:val="24"/>
          <w:lang w:val="en-IE" w:eastAsia="zh-CN"/>
        </w:rPr>
        <w:t xml:space="preserve"> This will limit abusive use of personal data to potentially manipulate </w:t>
      </w:r>
      <w:r w:rsidR="00022468" w:rsidRPr="00BD00A9">
        <w:rPr>
          <w:rFonts w:ascii="Times New Roman" w:eastAsiaTheme="minorEastAsia" w:hAnsi="Times New Roman"/>
          <w:noProof/>
          <w:sz w:val="24"/>
          <w:szCs w:val="24"/>
          <w:lang w:val="en-IE" w:eastAsia="zh-CN"/>
        </w:rPr>
        <w:t>individuals</w:t>
      </w:r>
      <w:r w:rsidRPr="00BD00A9">
        <w:rPr>
          <w:rFonts w:ascii="Times New Roman" w:eastAsiaTheme="minorEastAsia" w:hAnsi="Times New Roman"/>
          <w:noProof/>
          <w:sz w:val="24"/>
          <w:szCs w:val="24"/>
          <w:lang w:val="en-IE" w:eastAsia="zh-CN"/>
        </w:rPr>
        <w:t>. All online political ads will be available in an online ad repository. Sponsoring ads from outside the EU will be prohibited three months before elections</w:t>
      </w:r>
      <w:r w:rsidR="00DF48B6" w:rsidRPr="00BD00A9">
        <w:rPr>
          <w:rFonts w:ascii="Times New Roman" w:eastAsiaTheme="minorEastAsia" w:hAnsi="Times New Roman"/>
          <w:noProof/>
          <w:sz w:val="24"/>
          <w:szCs w:val="24"/>
          <w:lang w:val="en-IE" w:eastAsia="zh-CN"/>
        </w:rPr>
        <w:t xml:space="preserve">. </w:t>
      </w:r>
    </w:p>
    <w:p w14:paraId="560DB23B" w14:textId="4BB61163" w:rsidR="00EF1C56" w:rsidRPr="00BD00A9" w:rsidRDefault="00EF1C56" w:rsidP="00685414">
      <w:pPr>
        <w:spacing w:line="276" w:lineRule="auto"/>
        <w:jc w:val="both"/>
        <w:rPr>
          <w:rFonts w:ascii="Times New Roman" w:eastAsiaTheme="minorEastAsia" w:hAnsi="Times New Roman"/>
          <w:noProof/>
          <w:sz w:val="24"/>
          <w:szCs w:val="24"/>
          <w:lang w:val="en-IE" w:eastAsia="zh-CN"/>
        </w:rPr>
      </w:pPr>
      <w:r w:rsidRPr="00BD00A9">
        <w:rPr>
          <w:rFonts w:ascii="Times New Roman" w:eastAsiaTheme="minorEastAsia" w:hAnsi="Times New Roman"/>
          <w:noProof/>
          <w:sz w:val="24"/>
          <w:szCs w:val="24"/>
          <w:lang w:val="en-IE" w:eastAsia="zh-CN"/>
        </w:rPr>
        <w:t>The Commission also proposed updat</w:t>
      </w:r>
      <w:r w:rsidR="00D710C2" w:rsidRPr="00BD00A9">
        <w:rPr>
          <w:rFonts w:ascii="Times New Roman" w:eastAsiaTheme="minorEastAsia" w:hAnsi="Times New Roman"/>
          <w:noProof/>
          <w:sz w:val="24"/>
          <w:szCs w:val="24"/>
          <w:lang w:val="en-IE" w:eastAsia="zh-CN"/>
        </w:rPr>
        <w:t>ing</w:t>
      </w:r>
      <w:r w:rsidRPr="00BD00A9">
        <w:rPr>
          <w:rFonts w:ascii="Times New Roman" w:eastAsiaTheme="minorEastAsia" w:hAnsi="Times New Roman"/>
          <w:noProof/>
          <w:sz w:val="24"/>
          <w:szCs w:val="24"/>
          <w:lang w:val="en-IE" w:eastAsia="zh-CN"/>
        </w:rPr>
        <w:t xml:space="preserve"> the current EU </w:t>
      </w:r>
      <w:r w:rsidRPr="00BD00A9">
        <w:rPr>
          <w:rFonts w:ascii="Times New Roman" w:eastAsiaTheme="minorEastAsia" w:hAnsi="Times New Roman"/>
          <w:b/>
          <w:bCs/>
          <w:noProof/>
          <w:sz w:val="24"/>
          <w:szCs w:val="24"/>
          <w:lang w:val="en-IE" w:eastAsia="zh-CN"/>
        </w:rPr>
        <w:t>rules on European political parties and foundations</w:t>
      </w:r>
      <w:r w:rsidRPr="00BD00A9">
        <w:rPr>
          <w:rStyle w:val="FootnoteReference"/>
          <w:rFonts w:ascii="Times New Roman" w:eastAsiaTheme="minorEastAsia" w:hAnsi="Times New Roman"/>
          <w:noProof/>
          <w:sz w:val="24"/>
          <w:szCs w:val="24"/>
          <w:lang w:val="en-IE" w:eastAsia="zh-CN"/>
        </w:rPr>
        <w:footnoteReference w:id="124"/>
      </w:r>
      <w:r w:rsidRPr="00BD00A9">
        <w:rPr>
          <w:rFonts w:ascii="Times New Roman" w:eastAsiaTheme="minorEastAsia" w:hAnsi="Times New Roman"/>
          <w:noProof/>
          <w:sz w:val="24"/>
          <w:szCs w:val="24"/>
          <w:lang w:val="en-IE" w:eastAsia="zh-CN"/>
        </w:rPr>
        <w:t>.</w:t>
      </w:r>
      <w:r w:rsidR="00BE6761" w:rsidRPr="00BD00A9">
        <w:rPr>
          <w:rFonts w:ascii="Times New Roman" w:eastAsiaTheme="minorEastAsia" w:hAnsi="Times New Roman"/>
          <w:noProof/>
          <w:sz w:val="24"/>
          <w:szCs w:val="24"/>
          <w:lang w:val="en-IE" w:eastAsia="zh-CN"/>
        </w:rPr>
        <w:t xml:space="preserve"> The proposal aims </w:t>
      </w:r>
      <w:r w:rsidR="00D710C2" w:rsidRPr="00BD00A9">
        <w:rPr>
          <w:rFonts w:ascii="Times New Roman" w:eastAsiaTheme="minorEastAsia" w:hAnsi="Times New Roman"/>
          <w:noProof/>
          <w:sz w:val="24"/>
          <w:szCs w:val="24"/>
          <w:lang w:val="en-IE" w:eastAsia="zh-CN"/>
        </w:rPr>
        <w:t>to</w:t>
      </w:r>
      <w:r w:rsidR="00BE6761" w:rsidRPr="00BD00A9">
        <w:rPr>
          <w:rFonts w:ascii="Times New Roman" w:eastAsiaTheme="minorEastAsia" w:hAnsi="Times New Roman"/>
          <w:noProof/>
          <w:sz w:val="24"/>
          <w:szCs w:val="24"/>
          <w:lang w:val="en-IE" w:eastAsia="zh-CN"/>
        </w:rPr>
        <w:t xml:space="preserve"> ensur</w:t>
      </w:r>
      <w:r w:rsidR="00D710C2" w:rsidRPr="00BD00A9">
        <w:rPr>
          <w:rFonts w:ascii="Times New Roman" w:eastAsiaTheme="minorEastAsia" w:hAnsi="Times New Roman"/>
          <w:noProof/>
          <w:sz w:val="24"/>
          <w:szCs w:val="24"/>
          <w:lang w:val="en-IE" w:eastAsia="zh-CN"/>
        </w:rPr>
        <w:t>e</w:t>
      </w:r>
      <w:r w:rsidR="00BE6761" w:rsidRPr="00BD00A9">
        <w:rPr>
          <w:rFonts w:ascii="Times New Roman" w:eastAsiaTheme="minorEastAsia" w:hAnsi="Times New Roman"/>
          <w:noProof/>
          <w:sz w:val="24"/>
          <w:szCs w:val="24"/>
          <w:lang w:val="en-IE" w:eastAsia="zh-CN"/>
        </w:rPr>
        <w:t xml:space="preserve"> </w:t>
      </w:r>
      <w:r w:rsidR="00D710C2" w:rsidRPr="00BD00A9">
        <w:rPr>
          <w:rFonts w:ascii="Times New Roman" w:eastAsiaTheme="minorEastAsia" w:hAnsi="Times New Roman"/>
          <w:noProof/>
          <w:sz w:val="24"/>
          <w:szCs w:val="24"/>
          <w:lang w:val="en-IE" w:eastAsia="zh-CN"/>
        </w:rPr>
        <w:t xml:space="preserve">the </w:t>
      </w:r>
      <w:r w:rsidR="00BE6761" w:rsidRPr="00BD00A9">
        <w:rPr>
          <w:rFonts w:ascii="Times New Roman" w:eastAsiaTheme="minorEastAsia" w:hAnsi="Times New Roman"/>
          <w:noProof/>
          <w:sz w:val="24"/>
          <w:szCs w:val="24"/>
          <w:lang w:val="en-IE" w:eastAsia="zh-CN"/>
        </w:rPr>
        <w:t xml:space="preserve">financial viability of European political parties, while </w:t>
      </w:r>
      <w:r w:rsidR="00D710C2" w:rsidRPr="00BD00A9">
        <w:rPr>
          <w:rFonts w:ascii="Times New Roman" w:eastAsiaTheme="minorEastAsia" w:hAnsi="Times New Roman"/>
          <w:noProof/>
          <w:sz w:val="24"/>
          <w:szCs w:val="24"/>
          <w:lang w:val="en-IE" w:eastAsia="zh-CN"/>
        </w:rPr>
        <w:t>strengthening</w:t>
      </w:r>
      <w:r w:rsidR="00BE6761" w:rsidRPr="00BD00A9">
        <w:rPr>
          <w:rFonts w:ascii="Times New Roman" w:eastAsiaTheme="minorEastAsia" w:hAnsi="Times New Roman"/>
          <w:noProof/>
          <w:sz w:val="24"/>
          <w:szCs w:val="24"/>
          <w:lang w:val="en-IE" w:eastAsia="zh-CN"/>
        </w:rPr>
        <w:t xml:space="preserve"> the transparency requirements </w:t>
      </w:r>
      <w:r w:rsidR="00D710C2" w:rsidRPr="00BD00A9">
        <w:rPr>
          <w:rFonts w:ascii="Times New Roman" w:eastAsiaTheme="minorEastAsia" w:hAnsi="Times New Roman"/>
          <w:noProof/>
          <w:sz w:val="24"/>
          <w:szCs w:val="24"/>
          <w:lang w:val="en-IE" w:eastAsia="zh-CN"/>
        </w:rPr>
        <w:t>applicable to</w:t>
      </w:r>
      <w:r w:rsidR="00BE6761" w:rsidRPr="00BD00A9">
        <w:rPr>
          <w:rFonts w:ascii="Times New Roman" w:eastAsiaTheme="minorEastAsia" w:hAnsi="Times New Roman"/>
          <w:noProof/>
          <w:sz w:val="24"/>
          <w:szCs w:val="24"/>
          <w:lang w:val="en-IE" w:eastAsia="zh-CN"/>
        </w:rPr>
        <w:t xml:space="preserve"> their sources of funding. </w:t>
      </w:r>
      <w:r w:rsidR="00C16621" w:rsidRPr="00BD00A9">
        <w:rPr>
          <w:rFonts w:ascii="Times New Roman" w:eastAsiaTheme="minorEastAsia" w:hAnsi="Times New Roman"/>
          <w:noProof/>
          <w:sz w:val="24"/>
          <w:szCs w:val="24"/>
          <w:lang w:val="en-IE" w:eastAsia="zh-CN"/>
        </w:rPr>
        <w:t>It</w:t>
      </w:r>
      <w:r w:rsidR="00BE6761" w:rsidRPr="00BD00A9">
        <w:rPr>
          <w:rFonts w:ascii="Times New Roman" w:eastAsiaTheme="minorEastAsia" w:hAnsi="Times New Roman"/>
          <w:noProof/>
          <w:sz w:val="24"/>
          <w:szCs w:val="24"/>
          <w:lang w:val="en-IE" w:eastAsia="zh-CN"/>
        </w:rPr>
        <w:t xml:space="preserve"> contains measures to cut administrative burden</w:t>
      </w:r>
      <w:r w:rsidR="00D710C2" w:rsidRPr="00BD00A9">
        <w:rPr>
          <w:rFonts w:ascii="Times New Roman" w:eastAsiaTheme="minorEastAsia" w:hAnsi="Times New Roman"/>
          <w:noProof/>
          <w:sz w:val="24"/>
          <w:szCs w:val="24"/>
          <w:lang w:val="en-IE" w:eastAsia="zh-CN"/>
        </w:rPr>
        <w:t>s</w:t>
      </w:r>
      <w:r w:rsidR="00BE6761" w:rsidRPr="00BD00A9">
        <w:rPr>
          <w:rFonts w:ascii="Times New Roman" w:eastAsiaTheme="minorEastAsia" w:hAnsi="Times New Roman"/>
          <w:noProof/>
          <w:sz w:val="24"/>
          <w:szCs w:val="24"/>
          <w:lang w:val="en-IE" w:eastAsia="zh-CN"/>
        </w:rPr>
        <w:t xml:space="preserve">, modulate the sanctioning regime, and </w:t>
      </w:r>
      <w:r w:rsidR="00D710C2" w:rsidRPr="00BD00A9">
        <w:rPr>
          <w:rFonts w:ascii="Times New Roman" w:eastAsiaTheme="minorEastAsia" w:hAnsi="Times New Roman"/>
          <w:noProof/>
          <w:sz w:val="24"/>
          <w:szCs w:val="24"/>
          <w:lang w:val="en-IE" w:eastAsia="zh-CN"/>
        </w:rPr>
        <w:t>strengthen</w:t>
      </w:r>
      <w:r w:rsidR="00BE6761" w:rsidRPr="00BD00A9">
        <w:rPr>
          <w:rFonts w:ascii="Times New Roman" w:eastAsiaTheme="minorEastAsia" w:hAnsi="Times New Roman"/>
          <w:noProof/>
          <w:sz w:val="24"/>
          <w:szCs w:val="24"/>
          <w:lang w:val="en-IE" w:eastAsia="zh-CN"/>
        </w:rPr>
        <w:t xml:space="preserve"> transparency on gender representation and compliance with EU fundamental values. </w:t>
      </w:r>
    </w:p>
    <w:p w14:paraId="61C66BDA" w14:textId="4360F393" w:rsidR="00EF1C56" w:rsidRPr="00BD00A9" w:rsidRDefault="00EF1C56" w:rsidP="00EF1C56">
      <w:pPr>
        <w:spacing w:after="240" w:line="276" w:lineRule="auto"/>
        <w:jc w:val="both"/>
        <w:rPr>
          <w:rFonts w:ascii="Times New Roman" w:hAnsi="Times New Roman"/>
          <w:noProof/>
          <w:sz w:val="24"/>
          <w:szCs w:val="24"/>
          <w:lang w:val="en-IE"/>
        </w:rPr>
      </w:pPr>
      <w:r w:rsidRPr="00BD00A9">
        <w:rPr>
          <w:rFonts w:ascii="Times New Roman" w:hAnsi="Times New Roman"/>
          <w:noProof/>
          <w:sz w:val="24"/>
          <w:szCs w:val="24"/>
          <w:lang w:val="en-IE"/>
        </w:rPr>
        <w:t xml:space="preserve">The Commission has also continued to work with the Member States through the </w:t>
      </w:r>
      <w:r w:rsidRPr="00BD00A9">
        <w:rPr>
          <w:rFonts w:ascii="Times New Roman" w:hAnsi="Times New Roman"/>
          <w:b/>
          <w:bCs/>
          <w:noProof/>
          <w:sz w:val="24"/>
          <w:szCs w:val="24"/>
          <w:lang w:val="en-IE"/>
        </w:rPr>
        <w:t>European Cooperation Network on Elections</w:t>
      </w:r>
      <w:r w:rsidRPr="00BD00A9">
        <w:rPr>
          <w:rFonts w:ascii="Times New Roman" w:hAnsi="Times New Roman"/>
          <w:noProof/>
          <w:sz w:val="24"/>
          <w:szCs w:val="24"/>
          <w:lang w:val="en-IE"/>
        </w:rPr>
        <w:t xml:space="preserve"> (ECNE) to facilitate and improve the ability of EU citizens to exercise their voting rights including by supporting the exchange of best practices and mutual assistance to ensure free and fair elections</w:t>
      </w:r>
      <w:r w:rsidR="009F5FF9" w:rsidRPr="00BD00A9">
        <w:rPr>
          <w:rStyle w:val="FootnoteReference"/>
          <w:rFonts w:ascii="Times New Roman" w:hAnsi="Times New Roman"/>
          <w:noProof/>
          <w:sz w:val="24"/>
          <w:szCs w:val="24"/>
          <w:lang w:val="en-IE"/>
        </w:rPr>
        <w:footnoteReference w:id="125"/>
      </w:r>
      <w:r w:rsidRPr="00BD00A9">
        <w:rPr>
          <w:rFonts w:ascii="Times New Roman" w:hAnsi="Times New Roman"/>
          <w:noProof/>
          <w:sz w:val="24"/>
          <w:szCs w:val="24"/>
          <w:lang w:val="en-IE"/>
        </w:rPr>
        <w:t>. Member States have expressed their desire to continue and intensify work in the</w:t>
      </w:r>
      <w:r w:rsidR="00D710C2" w:rsidRPr="00BD00A9">
        <w:rPr>
          <w:rFonts w:ascii="Times New Roman" w:hAnsi="Times New Roman"/>
          <w:noProof/>
          <w:sz w:val="24"/>
          <w:szCs w:val="24"/>
          <w:lang w:val="en-IE"/>
        </w:rPr>
        <w:t xml:space="preserve"> ECNE</w:t>
      </w:r>
      <w:r w:rsidRPr="00BD00A9">
        <w:rPr>
          <w:rFonts w:ascii="Times New Roman" w:hAnsi="Times New Roman"/>
          <w:noProof/>
          <w:sz w:val="24"/>
          <w:szCs w:val="24"/>
          <w:lang w:val="en-IE"/>
        </w:rPr>
        <w:t xml:space="preserve">, and to consider </w:t>
      </w:r>
      <w:r w:rsidR="00022468" w:rsidRPr="00BD00A9">
        <w:rPr>
          <w:rFonts w:ascii="Times New Roman" w:hAnsi="Times New Roman"/>
          <w:noProof/>
          <w:sz w:val="24"/>
          <w:szCs w:val="24"/>
          <w:lang w:val="en-IE"/>
        </w:rPr>
        <w:t xml:space="preserve">further </w:t>
      </w:r>
      <w:r w:rsidRPr="00BD00A9">
        <w:rPr>
          <w:rFonts w:ascii="Times New Roman" w:hAnsi="Times New Roman"/>
          <w:noProof/>
          <w:sz w:val="24"/>
          <w:szCs w:val="24"/>
          <w:lang w:val="en-IE"/>
        </w:rPr>
        <w:t>concrete</w:t>
      </w:r>
      <w:r w:rsidR="00022468" w:rsidRPr="00BD00A9">
        <w:rPr>
          <w:rFonts w:ascii="Times New Roman" w:hAnsi="Times New Roman"/>
          <w:noProof/>
          <w:sz w:val="24"/>
          <w:szCs w:val="24"/>
          <w:lang w:val="en-IE"/>
        </w:rPr>
        <w:t xml:space="preserve"> and</w:t>
      </w:r>
      <w:r w:rsidRPr="00BD00A9">
        <w:rPr>
          <w:rFonts w:ascii="Times New Roman" w:hAnsi="Times New Roman"/>
          <w:noProof/>
          <w:sz w:val="24"/>
          <w:szCs w:val="24"/>
          <w:lang w:val="en-IE"/>
        </w:rPr>
        <w:t xml:space="preserve"> practical avenues</w:t>
      </w:r>
      <w:r w:rsidR="00022468" w:rsidRPr="00BD00A9">
        <w:rPr>
          <w:rFonts w:ascii="Times New Roman" w:hAnsi="Times New Roman"/>
          <w:noProof/>
          <w:sz w:val="24"/>
          <w:szCs w:val="24"/>
          <w:lang w:val="en-IE"/>
        </w:rPr>
        <w:t xml:space="preserve"> of cooperation</w:t>
      </w:r>
      <w:r w:rsidRPr="00BD00A9">
        <w:rPr>
          <w:rFonts w:ascii="Times New Roman" w:hAnsi="Times New Roman"/>
          <w:noProof/>
          <w:sz w:val="24"/>
          <w:szCs w:val="24"/>
          <w:lang w:val="en-IE"/>
        </w:rPr>
        <w:t>.</w:t>
      </w:r>
    </w:p>
    <w:p w14:paraId="15098E7E" w14:textId="22D4FABE" w:rsidR="00022468" w:rsidRPr="00BD00A9" w:rsidRDefault="00CBF04E" w:rsidP="00EF1C56">
      <w:pPr>
        <w:spacing w:after="240" w:line="276" w:lineRule="auto"/>
        <w:jc w:val="both"/>
        <w:rPr>
          <w:rFonts w:ascii="Times New Roman" w:hAnsi="Times New Roman"/>
          <w:noProof/>
          <w:sz w:val="24"/>
          <w:szCs w:val="24"/>
          <w:lang w:val="en-GB"/>
        </w:rPr>
      </w:pPr>
      <w:r w:rsidRPr="00BD00A9">
        <w:rPr>
          <w:rFonts w:ascii="Times New Roman" w:hAnsi="Times New Roman"/>
          <w:noProof/>
          <w:sz w:val="24"/>
          <w:szCs w:val="24"/>
          <w:lang w:val="en-GB"/>
        </w:rPr>
        <w:t xml:space="preserve">This includes a </w:t>
      </w:r>
      <w:r w:rsidR="00D710C2" w:rsidRPr="00BD00A9">
        <w:rPr>
          <w:rFonts w:ascii="Times New Roman" w:hAnsi="Times New Roman"/>
          <w:noProof/>
          <w:sz w:val="24"/>
          <w:szCs w:val="24"/>
          <w:lang w:val="en-GB"/>
        </w:rPr>
        <w:t>‘</w:t>
      </w:r>
      <w:r w:rsidRPr="00BD00A9">
        <w:rPr>
          <w:rFonts w:ascii="Times New Roman" w:hAnsi="Times New Roman"/>
          <w:b/>
          <w:bCs/>
          <w:noProof/>
          <w:sz w:val="24"/>
          <w:szCs w:val="24"/>
          <w:lang w:val="en-GB"/>
        </w:rPr>
        <w:t>joint mechanism for electoral resilience</w:t>
      </w:r>
      <w:r w:rsidR="00D710C2" w:rsidRPr="00BD00A9">
        <w:rPr>
          <w:rFonts w:ascii="Times New Roman" w:hAnsi="Times New Roman"/>
          <w:b/>
          <w:bCs/>
          <w:noProof/>
          <w:sz w:val="24"/>
          <w:szCs w:val="24"/>
          <w:lang w:val="en-GB"/>
        </w:rPr>
        <w:t>’</w:t>
      </w:r>
      <w:r w:rsidRPr="00BD00A9">
        <w:rPr>
          <w:rFonts w:ascii="Times New Roman" w:hAnsi="Times New Roman"/>
          <w:noProof/>
          <w:sz w:val="24"/>
          <w:szCs w:val="24"/>
          <w:lang w:val="en-GB"/>
        </w:rPr>
        <w:t xml:space="preserve"> organised and coordinated through </w:t>
      </w:r>
      <w:r w:rsidR="00D710C2" w:rsidRPr="00BD00A9">
        <w:rPr>
          <w:rFonts w:ascii="Times New Roman" w:hAnsi="Times New Roman"/>
          <w:noProof/>
          <w:sz w:val="24"/>
          <w:szCs w:val="24"/>
          <w:lang w:val="en-GB"/>
        </w:rPr>
        <w:t xml:space="preserve">the </w:t>
      </w:r>
      <w:r w:rsidRPr="00BD00A9">
        <w:rPr>
          <w:rFonts w:ascii="Times New Roman" w:hAnsi="Times New Roman"/>
          <w:noProof/>
          <w:sz w:val="24"/>
          <w:szCs w:val="24"/>
          <w:lang w:val="en-GB"/>
        </w:rPr>
        <w:t xml:space="preserve">ECNE in close cooperation with the Network and Information Systems (NIS) Cooperation Group and the Rapid Alert System. The mechanism’s primary operational focus has been to support deployment of joint expert teams and expert exchanges with the aim of building resilient electoral processes, in particular in the area of online forensics, disinformation and cybersecurity of elections. It has provided several Member States </w:t>
      </w:r>
      <w:r w:rsidR="00D710C2" w:rsidRPr="00BD00A9">
        <w:rPr>
          <w:rFonts w:ascii="Times New Roman" w:hAnsi="Times New Roman"/>
          <w:noProof/>
          <w:sz w:val="24"/>
          <w:szCs w:val="24"/>
          <w:lang w:val="en-GB"/>
        </w:rPr>
        <w:t xml:space="preserve">with support </w:t>
      </w:r>
      <w:r w:rsidRPr="00BD00A9">
        <w:rPr>
          <w:rFonts w:ascii="Times New Roman" w:hAnsi="Times New Roman"/>
          <w:noProof/>
          <w:sz w:val="24"/>
          <w:szCs w:val="24"/>
          <w:lang w:val="en-GB"/>
        </w:rPr>
        <w:t>since it started operating in 2022.</w:t>
      </w:r>
    </w:p>
    <w:p w14:paraId="5397B16B" w14:textId="34416553" w:rsidR="00EF1C56" w:rsidRPr="00BD00A9" w:rsidRDefault="00022468" w:rsidP="00EF1C56">
      <w:pPr>
        <w:spacing w:after="240" w:line="276" w:lineRule="auto"/>
        <w:jc w:val="both"/>
        <w:rPr>
          <w:rFonts w:ascii="Times New Roman" w:hAnsi="Times New Roman"/>
          <w:noProof/>
          <w:sz w:val="24"/>
          <w:szCs w:val="24"/>
          <w:lang w:val="en-GB"/>
        </w:rPr>
      </w:pPr>
      <w:r w:rsidRPr="00BD00A9">
        <w:rPr>
          <w:rFonts w:ascii="Times New Roman" w:hAnsi="Times New Roman"/>
          <w:noProof/>
          <w:sz w:val="24"/>
          <w:szCs w:val="24"/>
          <w:lang w:val="en-IE"/>
        </w:rPr>
        <w:t>Work is ongoing in the framework of the ECNE to support free and fair elections to the European Parliament in 2024</w:t>
      </w:r>
      <w:r w:rsidR="001F5F92" w:rsidRPr="00BD00A9">
        <w:rPr>
          <w:rFonts w:ascii="Times New Roman" w:hAnsi="Times New Roman"/>
          <w:noProof/>
          <w:sz w:val="24"/>
          <w:szCs w:val="24"/>
          <w:lang w:val="en-IE"/>
        </w:rPr>
        <w:t xml:space="preserve">. </w:t>
      </w:r>
      <w:r w:rsidRPr="00BD00A9">
        <w:rPr>
          <w:rFonts w:ascii="Times New Roman" w:hAnsi="Times New Roman"/>
          <w:noProof/>
          <w:sz w:val="24"/>
          <w:szCs w:val="24"/>
        </w:rPr>
        <w:t>For instance, t</w:t>
      </w:r>
      <w:r w:rsidR="00C82D08" w:rsidRPr="00BD00A9">
        <w:rPr>
          <w:rFonts w:ascii="Times New Roman" w:hAnsi="Times New Roman"/>
          <w:noProof/>
          <w:sz w:val="24"/>
          <w:szCs w:val="24"/>
        </w:rPr>
        <w:t xml:space="preserve">he </w:t>
      </w:r>
      <w:r w:rsidRPr="00BD00A9">
        <w:rPr>
          <w:rFonts w:ascii="Times New Roman" w:hAnsi="Times New Roman"/>
          <w:noProof/>
          <w:sz w:val="24"/>
          <w:szCs w:val="24"/>
        </w:rPr>
        <w:t xml:space="preserve">‘joint </w:t>
      </w:r>
      <w:r w:rsidR="00C82D08" w:rsidRPr="00BD00A9">
        <w:rPr>
          <w:rFonts w:ascii="Times New Roman" w:hAnsi="Times New Roman"/>
          <w:noProof/>
          <w:sz w:val="24"/>
          <w:szCs w:val="24"/>
        </w:rPr>
        <w:t xml:space="preserve">mechanism </w:t>
      </w:r>
      <w:r w:rsidRPr="00BD00A9">
        <w:rPr>
          <w:rFonts w:ascii="Times New Roman" w:hAnsi="Times New Roman"/>
          <w:noProof/>
          <w:sz w:val="24"/>
          <w:szCs w:val="24"/>
        </w:rPr>
        <w:t xml:space="preserve">for electoral resilience’ </w:t>
      </w:r>
      <w:r w:rsidR="00C82D08" w:rsidRPr="00BD00A9">
        <w:rPr>
          <w:rFonts w:ascii="Times New Roman" w:hAnsi="Times New Roman"/>
          <w:noProof/>
          <w:sz w:val="24"/>
          <w:szCs w:val="24"/>
        </w:rPr>
        <w:t>was used by</w:t>
      </w:r>
      <w:r w:rsidR="00A34313" w:rsidRPr="00BD00A9">
        <w:rPr>
          <w:rFonts w:ascii="Times New Roman" w:hAnsi="Times New Roman"/>
          <w:noProof/>
          <w:sz w:val="24"/>
          <w:szCs w:val="24"/>
        </w:rPr>
        <w:t xml:space="preserve"> </w:t>
      </w:r>
      <w:r w:rsidR="00A34313" w:rsidRPr="00BD00A9">
        <w:rPr>
          <w:rFonts w:ascii="Times New Roman" w:eastAsia="Times New Roman" w:hAnsi="Times New Roman" w:cs="Times New Roman"/>
          <w:noProof/>
          <w:color w:val="000000" w:themeColor="text1"/>
          <w:sz w:val="24"/>
          <w:szCs w:val="24"/>
          <w:lang w:eastAsia="en-IE"/>
        </w:rPr>
        <w:t>the Commission</w:t>
      </w:r>
      <w:r w:rsidR="00C82D08" w:rsidRPr="00BD00A9">
        <w:rPr>
          <w:rFonts w:ascii="Times New Roman" w:eastAsia="Times New Roman" w:hAnsi="Times New Roman" w:cs="Times New Roman"/>
          <w:noProof/>
          <w:color w:val="000000" w:themeColor="text1"/>
          <w:sz w:val="24"/>
          <w:szCs w:val="24"/>
          <w:lang w:eastAsia="en-IE"/>
        </w:rPr>
        <w:t xml:space="preserve"> to </w:t>
      </w:r>
      <w:r w:rsidR="00A34313" w:rsidRPr="00BD00A9">
        <w:rPr>
          <w:rFonts w:ascii="Times New Roman" w:eastAsia="Times New Roman" w:hAnsi="Times New Roman" w:cs="Times New Roman"/>
          <w:noProof/>
          <w:color w:val="000000" w:themeColor="text1"/>
          <w:sz w:val="24"/>
          <w:szCs w:val="24"/>
          <w:lang w:eastAsia="en-IE"/>
        </w:rPr>
        <w:t xml:space="preserve">organise </w:t>
      </w:r>
      <w:r w:rsidR="00001F84" w:rsidRPr="00BD00A9">
        <w:rPr>
          <w:rFonts w:ascii="Times New Roman" w:eastAsia="Times New Roman" w:hAnsi="Times New Roman" w:cs="Times New Roman"/>
          <w:noProof/>
          <w:color w:val="000000" w:themeColor="text1"/>
          <w:sz w:val="24"/>
          <w:szCs w:val="24"/>
          <w:lang w:eastAsia="en-IE"/>
        </w:rPr>
        <w:t>on 21 November 202</w:t>
      </w:r>
      <w:r w:rsidR="00A1297C" w:rsidRPr="00BD00A9">
        <w:rPr>
          <w:rFonts w:ascii="Times New Roman" w:eastAsia="Times New Roman" w:hAnsi="Times New Roman" w:cs="Times New Roman"/>
          <w:noProof/>
          <w:color w:val="000000" w:themeColor="text1"/>
          <w:sz w:val="24"/>
          <w:szCs w:val="24"/>
          <w:lang w:eastAsia="en-IE"/>
        </w:rPr>
        <w:t>3</w:t>
      </w:r>
      <w:r w:rsidR="00001F84" w:rsidRPr="00BD00A9">
        <w:rPr>
          <w:rFonts w:ascii="Times New Roman" w:eastAsia="Times New Roman" w:hAnsi="Times New Roman" w:cs="Times New Roman"/>
          <w:noProof/>
          <w:color w:val="000000" w:themeColor="text1"/>
          <w:sz w:val="24"/>
          <w:szCs w:val="24"/>
          <w:lang w:eastAsia="en-IE"/>
        </w:rPr>
        <w:t xml:space="preserve"> </w:t>
      </w:r>
      <w:r w:rsidR="00D1144F" w:rsidRPr="00BD00A9">
        <w:rPr>
          <w:rFonts w:ascii="Times New Roman" w:eastAsia="Times New Roman" w:hAnsi="Times New Roman" w:cs="Times New Roman"/>
          <w:noProof/>
          <w:color w:val="000000" w:themeColor="text1"/>
          <w:sz w:val="24"/>
          <w:szCs w:val="24"/>
          <w:lang w:eastAsia="en-IE"/>
        </w:rPr>
        <w:t xml:space="preserve">in close cooperation with </w:t>
      </w:r>
      <w:r w:rsidR="00C82D08" w:rsidRPr="00BD00A9">
        <w:rPr>
          <w:rFonts w:ascii="Times New Roman" w:eastAsia="Times New Roman" w:hAnsi="Times New Roman" w:cs="Times New Roman"/>
          <w:noProof/>
          <w:color w:val="000000" w:themeColor="text1"/>
          <w:sz w:val="24"/>
          <w:szCs w:val="24"/>
          <w:lang w:eastAsia="en-IE"/>
        </w:rPr>
        <w:t xml:space="preserve">the European Parliament, the EU Agency for cybersecurity (ENISA) and </w:t>
      </w:r>
      <w:r w:rsidR="00D1144F" w:rsidRPr="00BD00A9">
        <w:rPr>
          <w:rFonts w:ascii="Times New Roman" w:eastAsia="Times New Roman" w:hAnsi="Times New Roman" w:cs="Times New Roman"/>
          <w:noProof/>
          <w:color w:val="000000" w:themeColor="text1"/>
          <w:sz w:val="24"/>
          <w:szCs w:val="24"/>
          <w:lang w:eastAsia="en-IE"/>
        </w:rPr>
        <w:t xml:space="preserve">Member States </w:t>
      </w:r>
      <w:r w:rsidR="00A34313" w:rsidRPr="00BD00A9">
        <w:rPr>
          <w:rFonts w:ascii="Times New Roman" w:eastAsia="Times New Roman" w:hAnsi="Times New Roman" w:cs="Times New Roman"/>
          <w:noProof/>
          <w:color w:val="000000" w:themeColor="text1"/>
          <w:sz w:val="24"/>
          <w:szCs w:val="24"/>
          <w:lang w:eastAsia="en-IE"/>
        </w:rPr>
        <w:t xml:space="preserve">a table-top exercise to test the Member States' </w:t>
      </w:r>
      <w:r w:rsidR="00A853E7" w:rsidRPr="00BD00A9">
        <w:rPr>
          <w:rFonts w:ascii="Times New Roman" w:eastAsia="Times New Roman" w:hAnsi="Times New Roman" w:cs="Times New Roman"/>
          <w:noProof/>
          <w:color w:val="000000" w:themeColor="text1"/>
          <w:sz w:val="24"/>
          <w:szCs w:val="24"/>
          <w:lang w:eastAsia="en-IE"/>
        </w:rPr>
        <w:t>preparedness to respond to cybersecurity incidents capable of affecting the 2024 elections</w:t>
      </w:r>
      <w:r w:rsidR="00A34313" w:rsidRPr="00BD00A9">
        <w:rPr>
          <w:rFonts w:ascii="Times New Roman" w:eastAsia="Times New Roman" w:hAnsi="Times New Roman" w:cs="Times New Roman"/>
          <w:noProof/>
          <w:color w:val="000000" w:themeColor="text1"/>
          <w:sz w:val="24"/>
          <w:szCs w:val="24"/>
          <w:lang w:eastAsia="en-IE"/>
        </w:rPr>
        <w:t xml:space="preserve">. </w:t>
      </w:r>
    </w:p>
    <w:p w14:paraId="5854BFE2" w14:textId="4BD8EF9A" w:rsidR="00FE2707" w:rsidRPr="00BD00A9" w:rsidRDefault="00206677" w:rsidP="00B42A41">
      <w:pPr>
        <w:spacing w:before="100" w:beforeAutospacing="1" w:after="100" w:afterAutospacing="1" w:line="276" w:lineRule="auto"/>
        <w:jc w:val="both"/>
        <w:rPr>
          <w:rFonts w:ascii="Times New Roman" w:eastAsia="Times New Roman" w:hAnsi="Times New Roman" w:cs="Times New Roman"/>
          <w:noProof/>
          <w:color w:val="000000"/>
          <w:sz w:val="24"/>
          <w:szCs w:val="24"/>
          <w:lang w:eastAsia="en-IE"/>
        </w:rPr>
      </w:pPr>
      <w:r w:rsidRPr="00BD00A9">
        <w:rPr>
          <w:rFonts w:ascii="Times New Roman" w:hAnsi="Times New Roman"/>
          <w:noProof/>
          <w:sz w:val="24"/>
          <w:szCs w:val="24"/>
          <w:lang w:val="en-GB"/>
        </w:rPr>
        <w:t xml:space="preserve">Moreover, the NIS Cooperation Group established a dedicated work stream on cybersecurity of elections </w:t>
      </w:r>
      <w:r w:rsidRPr="00BD00A9">
        <w:rPr>
          <w:rFonts w:ascii="Times New Roman" w:hAnsi="Times New Roman"/>
          <w:noProof/>
          <w:sz w:val="24"/>
          <w:szCs w:val="24"/>
        </w:rPr>
        <w:t>in order to share experiences and provide guidance, as well as an overview of tools, techniques and protocols to detect, prevent, and mitigate threats to electoral processes and technologies. Primary tasks of the work stream include the update of the Compendium on Cyber Security of Election Technology</w:t>
      </w:r>
      <w:r w:rsidRPr="00BD00A9">
        <w:rPr>
          <w:rStyle w:val="FootnoteReference"/>
          <w:rFonts w:ascii="Times New Roman" w:hAnsi="Times New Roman"/>
          <w:noProof/>
          <w:sz w:val="24"/>
          <w:szCs w:val="24"/>
        </w:rPr>
        <w:footnoteReference w:id="126"/>
      </w:r>
      <w:r w:rsidRPr="00BD00A9">
        <w:rPr>
          <w:rFonts w:ascii="Times New Roman" w:hAnsi="Times New Roman"/>
          <w:noProof/>
          <w:sz w:val="24"/>
          <w:szCs w:val="24"/>
        </w:rPr>
        <w:t xml:space="preserve"> published in 2018.</w:t>
      </w:r>
      <w:r w:rsidR="00222F05" w:rsidRPr="00BD00A9">
        <w:rPr>
          <w:rFonts w:ascii="Times New Roman" w:hAnsi="Times New Roman"/>
          <w:noProof/>
          <w:sz w:val="24"/>
          <w:szCs w:val="24"/>
        </w:rPr>
        <w:t xml:space="preserve"> </w:t>
      </w:r>
    </w:p>
    <w:p w14:paraId="34BC87AC" w14:textId="18B589FB" w:rsidR="004615FB" w:rsidRPr="00BD00A9" w:rsidRDefault="00D710C2" w:rsidP="00EF1C56">
      <w:pPr>
        <w:spacing w:after="240" w:line="276" w:lineRule="auto"/>
        <w:jc w:val="both"/>
        <w:rPr>
          <w:rFonts w:ascii="Times New Roman" w:hAnsi="Times New Roman"/>
          <w:noProof/>
          <w:sz w:val="24"/>
          <w:szCs w:val="24"/>
          <w:lang w:val="en-IE"/>
        </w:rPr>
      </w:pPr>
      <w:r w:rsidRPr="00BD00A9">
        <w:rPr>
          <w:rFonts w:ascii="Times New Roman" w:hAnsi="Times New Roman"/>
          <w:noProof/>
          <w:sz w:val="24"/>
          <w:szCs w:val="24"/>
          <w:lang w:val="en-GB"/>
        </w:rPr>
        <w:t xml:space="preserve">On 10 June 2021, a joint meeting of the ECNE and the Expert Group on Electoral Matters held </w:t>
      </w:r>
      <w:r w:rsidRPr="00BD00A9">
        <w:rPr>
          <w:rFonts w:ascii="Times New Roman" w:hAnsi="Times New Roman"/>
          <w:noProof/>
          <w:sz w:val="24"/>
          <w:szCs w:val="24"/>
          <w:lang w:val="en-IE"/>
        </w:rPr>
        <w:t>a</w:t>
      </w:r>
      <w:r w:rsidR="00EF1C56" w:rsidRPr="00BD00A9">
        <w:rPr>
          <w:rFonts w:ascii="Times New Roman" w:hAnsi="Times New Roman"/>
          <w:noProof/>
          <w:sz w:val="24"/>
          <w:szCs w:val="24"/>
          <w:lang w:val="en-IE"/>
        </w:rPr>
        <w:t xml:space="preserve">n open discussion on supporting </w:t>
      </w:r>
      <w:r w:rsidRPr="00BD00A9">
        <w:rPr>
          <w:rFonts w:ascii="Times New Roman" w:hAnsi="Times New Roman"/>
          <w:noProof/>
          <w:sz w:val="24"/>
          <w:szCs w:val="24"/>
          <w:lang w:val="en-IE"/>
        </w:rPr>
        <w:t xml:space="preserve">the </w:t>
      </w:r>
      <w:r w:rsidR="00EF1C56" w:rsidRPr="00BD00A9">
        <w:rPr>
          <w:rFonts w:ascii="Times New Roman" w:hAnsi="Times New Roman"/>
          <w:b/>
          <w:bCs/>
          <w:noProof/>
          <w:sz w:val="24"/>
          <w:szCs w:val="24"/>
          <w:lang w:val="en-IE"/>
        </w:rPr>
        <w:t>broad and inclusive participation</w:t>
      </w:r>
      <w:r w:rsidR="00EF1C56" w:rsidRPr="00BD00A9">
        <w:rPr>
          <w:rFonts w:ascii="Times New Roman" w:hAnsi="Times New Roman"/>
          <w:noProof/>
          <w:sz w:val="24"/>
          <w:szCs w:val="24"/>
          <w:lang w:val="en-IE"/>
        </w:rPr>
        <w:t xml:space="preserve"> of mobile EU citizens in </w:t>
      </w:r>
      <w:r w:rsidR="00875012" w:rsidRPr="00BD00A9">
        <w:rPr>
          <w:rFonts w:ascii="Times New Roman" w:hAnsi="Times New Roman"/>
          <w:noProof/>
          <w:sz w:val="24"/>
          <w:szCs w:val="24"/>
          <w:lang w:val="en-IE"/>
        </w:rPr>
        <w:t xml:space="preserve">elections to the </w:t>
      </w:r>
      <w:r w:rsidR="00EF1C56" w:rsidRPr="00BD00A9">
        <w:rPr>
          <w:rFonts w:ascii="Times New Roman" w:hAnsi="Times New Roman"/>
          <w:noProof/>
          <w:sz w:val="24"/>
          <w:szCs w:val="24"/>
          <w:lang w:val="en-IE"/>
        </w:rPr>
        <w:t xml:space="preserve">European Parliament and municipal elections, including the development and collection of indicators. </w:t>
      </w:r>
      <w:r w:rsidRPr="00BD00A9">
        <w:rPr>
          <w:rFonts w:ascii="Times New Roman" w:hAnsi="Times New Roman"/>
          <w:noProof/>
          <w:sz w:val="24"/>
          <w:szCs w:val="24"/>
          <w:lang w:val="en-IE"/>
        </w:rPr>
        <w:t xml:space="preserve">The </w:t>
      </w:r>
      <w:r w:rsidR="00EF1C56" w:rsidRPr="00BD00A9">
        <w:rPr>
          <w:rFonts w:ascii="Times New Roman" w:hAnsi="Times New Roman"/>
          <w:noProof/>
          <w:sz w:val="24"/>
          <w:szCs w:val="24"/>
          <w:lang w:val="en-IE"/>
        </w:rPr>
        <w:t xml:space="preserve">ECNE has also held dedicated sessions </w:t>
      </w:r>
      <w:r w:rsidR="00022468" w:rsidRPr="00BD00A9">
        <w:rPr>
          <w:rFonts w:ascii="Times New Roman" w:hAnsi="Times New Roman"/>
          <w:noProof/>
          <w:sz w:val="24"/>
          <w:szCs w:val="24"/>
          <w:lang w:val="en-IE"/>
        </w:rPr>
        <w:t xml:space="preserve">for instance </w:t>
      </w:r>
      <w:r w:rsidR="00EF1C56" w:rsidRPr="00BD00A9">
        <w:rPr>
          <w:rFonts w:ascii="Times New Roman" w:hAnsi="Times New Roman"/>
          <w:noProof/>
          <w:sz w:val="24"/>
          <w:szCs w:val="24"/>
          <w:lang w:val="en-IE"/>
        </w:rPr>
        <w:t xml:space="preserve">on practices in </w:t>
      </w:r>
      <w:r w:rsidR="00EF1C56" w:rsidRPr="00BD00A9">
        <w:rPr>
          <w:rFonts w:ascii="Times New Roman" w:hAnsi="Times New Roman"/>
          <w:b/>
          <w:bCs/>
          <w:noProof/>
          <w:sz w:val="24"/>
          <w:szCs w:val="24"/>
          <w:lang w:val="en-IE"/>
        </w:rPr>
        <w:t>e-voting</w:t>
      </w:r>
      <w:r w:rsidR="00EF1C56" w:rsidRPr="00BD00A9">
        <w:rPr>
          <w:rFonts w:ascii="Times New Roman" w:hAnsi="Times New Roman"/>
          <w:noProof/>
          <w:sz w:val="24"/>
          <w:szCs w:val="24"/>
          <w:lang w:val="en-IE"/>
        </w:rPr>
        <w:t xml:space="preserve"> and electronic democratic participation. In addition, ECNE has worked on election accessibility for persons with disabilities. </w:t>
      </w:r>
    </w:p>
    <w:p w14:paraId="53609BF7" w14:textId="573A23C3" w:rsidR="00EF1C56" w:rsidRPr="00BD00A9" w:rsidRDefault="009F5FF9" w:rsidP="00EF1C56">
      <w:pPr>
        <w:spacing w:after="240" w:line="276" w:lineRule="auto"/>
        <w:jc w:val="both"/>
        <w:rPr>
          <w:rFonts w:ascii="Times New Roman" w:hAnsi="Times New Roman"/>
          <w:noProof/>
          <w:sz w:val="24"/>
          <w:szCs w:val="24"/>
          <w:lang w:val="en-IE"/>
        </w:rPr>
      </w:pPr>
      <w:r w:rsidRPr="00BD00A9">
        <w:rPr>
          <w:rFonts w:ascii="Times New Roman" w:hAnsi="Times New Roman"/>
          <w:noProof/>
          <w:sz w:val="24"/>
          <w:szCs w:val="24"/>
          <w:lang w:val="en-IE"/>
        </w:rPr>
        <w:t>A</w:t>
      </w:r>
      <w:r w:rsidR="00CBF04E" w:rsidRPr="00BD00A9">
        <w:rPr>
          <w:rFonts w:ascii="Times New Roman" w:hAnsi="Times New Roman"/>
          <w:noProof/>
          <w:sz w:val="24"/>
          <w:szCs w:val="24"/>
        </w:rPr>
        <w:t xml:space="preserve"> </w:t>
      </w:r>
      <w:r w:rsidR="00CBF04E" w:rsidRPr="00BD00A9">
        <w:rPr>
          <w:rFonts w:ascii="Times New Roman" w:hAnsi="Times New Roman"/>
          <w:b/>
          <w:bCs/>
          <w:noProof/>
          <w:sz w:val="24"/>
          <w:szCs w:val="24"/>
        </w:rPr>
        <w:t xml:space="preserve">Compendium </w:t>
      </w:r>
      <w:r w:rsidR="00FA0BB6" w:rsidRPr="00BD00A9">
        <w:rPr>
          <w:rFonts w:ascii="Times New Roman" w:hAnsi="Times New Roman"/>
          <w:b/>
          <w:bCs/>
          <w:noProof/>
          <w:sz w:val="24"/>
          <w:szCs w:val="24"/>
        </w:rPr>
        <w:t>of</w:t>
      </w:r>
      <w:r w:rsidR="00CE4614" w:rsidRPr="00BD00A9">
        <w:rPr>
          <w:rFonts w:ascii="Times New Roman" w:hAnsi="Times New Roman"/>
          <w:b/>
          <w:bCs/>
          <w:noProof/>
          <w:sz w:val="24"/>
          <w:szCs w:val="24"/>
        </w:rPr>
        <w:t xml:space="preserve"> </w:t>
      </w:r>
      <w:r w:rsidR="00CBF04E" w:rsidRPr="00BD00A9">
        <w:rPr>
          <w:rFonts w:ascii="Times New Roman" w:hAnsi="Times New Roman"/>
          <w:b/>
          <w:bCs/>
          <w:noProof/>
          <w:sz w:val="24"/>
          <w:szCs w:val="24"/>
        </w:rPr>
        <w:t xml:space="preserve">e-voting </w:t>
      </w:r>
      <w:r w:rsidR="00FA0BB6" w:rsidRPr="00BD00A9">
        <w:rPr>
          <w:rFonts w:ascii="Times New Roman" w:hAnsi="Times New Roman"/>
          <w:b/>
          <w:bCs/>
          <w:noProof/>
          <w:sz w:val="24"/>
          <w:szCs w:val="24"/>
        </w:rPr>
        <w:t xml:space="preserve">and other ICT </w:t>
      </w:r>
      <w:r w:rsidR="00CBF04E" w:rsidRPr="00BD00A9">
        <w:rPr>
          <w:rFonts w:ascii="Times New Roman" w:hAnsi="Times New Roman"/>
          <w:b/>
          <w:bCs/>
          <w:noProof/>
          <w:sz w:val="24"/>
          <w:szCs w:val="24"/>
        </w:rPr>
        <w:t>practices</w:t>
      </w:r>
      <w:r w:rsidR="002E1AD5" w:rsidRPr="00BD00A9">
        <w:rPr>
          <w:rFonts w:ascii="Times New Roman" w:hAnsi="Times New Roman"/>
          <w:b/>
          <w:bCs/>
          <w:noProof/>
          <w:sz w:val="24"/>
          <w:szCs w:val="24"/>
        </w:rPr>
        <w:t xml:space="preserve"> </w:t>
      </w:r>
      <w:r w:rsidR="00CBF04E" w:rsidRPr="00BD00A9">
        <w:rPr>
          <w:rFonts w:ascii="Times New Roman" w:hAnsi="Times New Roman"/>
          <w:noProof/>
          <w:sz w:val="24"/>
          <w:szCs w:val="24"/>
        </w:rPr>
        <w:t xml:space="preserve">and </w:t>
      </w:r>
      <w:r w:rsidR="00CBF04E" w:rsidRPr="00BD00A9">
        <w:rPr>
          <w:rFonts w:ascii="Times New Roman" w:hAnsi="Times New Roman"/>
          <w:noProof/>
          <w:sz w:val="24"/>
          <w:szCs w:val="24"/>
          <w:lang w:val="en-IE"/>
        </w:rPr>
        <w:t xml:space="preserve">a </w:t>
      </w:r>
      <w:r w:rsidR="00024AD2" w:rsidRPr="00BD00A9">
        <w:rPr>
          <w:rFonts w:ascii="Times New Roman" w:hAnsi="Times New Roman"/>
          <w:noProof/>
          <w:sz w:val="24"/>
          <w:szCs w:val="24"/>
          <w:lang w:val="en-IE"/>
        </w:rPr>
        <w:t>‘</w:t>
      </w:r>
      <w:r w:rsidR="00CBF04E" w:rsidRPr="00BD00A9">
        <w:rPr>
          <w:rFonts w:ascii="Times New Roman" w:hAnsi="Times New Roman"/>
          <w:b/>
          <w:bCs/>
          <w:noProof/>
          <w:sz w:val="24"/>
          <w:szCs w:val="24"/>
          <w:lang w:val="en-IE"/>
        </w:rPr>
        <w:t>Guide of good electoral practice</w:t>
      </w:r>
      <w:r w:rsidR="00C1488A" w:rsidRPr="00BD00A9">
        <w:rPr>
          <w:rFonts w:ascii="Times New Roman" w:hAnsi="Times New Roman"/>
          <w:b/>
          <w:bCs/>
          <w:noProof/>
          <w:sz w:val="24"/>
          <w:szCs w:val="24"/>
          <w:lang w:val="en-IE"/>
        </w:rPr>
        <w:t>s in Member States</w:t>
      </w:r>
      <w:r w:rsidR="00CBF04E" w:rsidRPr="00BD00A9">
        <w:rPr>
          <w:rFonts w:ascii="Times New Roman" w:hAnsi="Times New Roman"/>
          <w:b/>
          <w:bCs/>
          <w:noProof/>
          <w:sz w:val="24"/>
          <w:szCs w:val="24"/>
          <w:lang w:val="en-IE"/>
        </w:rPr>
        <w:t xml:space="preserve"> addressing participation of citizens with disabilities in the electoral process</w:t>
      </w:r>
      <w:r w:rsidR="00024AD2" w:rsidRPr="00BD00A9">
        <w:rPr>
          <w:rFonts w:ascii="Times New Roman" w:hAnsi="Times New Roman"/>
          <w:noProof/>
          <w:sz w:val="24"/>
          <w:szCs w:val="24"/>
          <w:lang w:val="en-IE"/>
        </w:rPr>
        <w:t>’</w:t>
      </w:r>
      <w:r w:rsidR="4EF65123" w:rsidRPr="00BD00A9">
        <w:rPr>
          <w:rFonts w:ascii="Times New Roman" w:hAnsi="Times New Roman"/>
          <w:b/>
          <w:bCs/>
          <w:noProof/>
          <w:sz w:val="24"/>
          <w:szCs w:val="24"/>
          <w:lang w:val="en-IE"/>
        </w:rPr>
        <w:t xml:space="preserve"> </w:t>
      </w:r>
      <w:r w:rsidR="001F5F92" w:rsidRPr="00BD00A9">
        <w:rPr>
          <w:rFonts w:ascii="Times New Roman" w:hAnsi="Times New Roman"/>
          <w:noProof/>
          <w:sz w:val="24"/>
          <w:szCs w:val="24"/>
          <w:lang w:val="en-IE"/>
        </w:rPr>
        <w:t>prepared in close cooperation with the ECNE</w:t>
      </w:r>
      <w:r w:rsidR="001F5F92" w:rsidRPr="00BD00A9">
        <w:rPr>
          <w:rFonts w:ascii="Times New Roman" w:hAnsi="Times New Roman"/>
          <w:b/>
          <w:bCs/>
          <w:noProof/>
          <w:sz w:val="24"/>
          <w:szCs w:val="24"/>
          <w:lang w:val="en-IE"/>
        </w:rPr>
        <w:t xml:space="preserve"> </w:t>
      </w:r>
      <w:r w:rsidR="00CBF04E" w:rsidRPr="00BD00A9">
        <w:rPr>
          <w:rFonts w:ascii="Times New Roman" w:hAnsi="Times New Roman"/>
          <w:noProof/>
          <w:sz w:val="24"/>
          <w:szCs w:val="24"/>
          <w:lang w:val="en-IE"/>
        </w:rPr>
        <w:t>are</w:t>
      </w:r>
      <w:r w:rsidR="00CBF04E" w:rsidRPr="00BD00A9">
        <w:rPr>
          <w:rFonts w:ascii="Times New Roman" w:hAnsi="Times New Roman"/>
          <w:noProof/>
          <w:sz w:val="24"/>
          <w:szCs w:val="24"/>
        </w:rPr>
        <w:t xml:space="preserve"> also </w:t>
      </w:r>
      <w:r w:rsidR="00024AD2" w:rsidRPr="00BD00A9">
        <w:rPr>
          <w:rFonts w:ascii="Times New Roman" w:hAnsi="Times New Roman"/>
          <w:noProof/>
          <w:sz w:val="24"/>
          <w:szCs w:val="24"/>
        </w:rPr>
        <w:t xml:space="preserve">being </w:t>
      </w:r>
      <w:r w:rsidR="00CBF04E" w:rsidRPr="00BD00A9">
        <w:rPr>
          <w:rFonts w:ascii="Times New Roman" w:hAnsi="Times New Roman"/>
          <w:noProof/>
          <w:sz w:val="24"/>
          <w:szCs w:val="24"/>
        </w:rPr>
        <w:t xml:space="preserve">published as part of the </w:t>
      </w:r>
      <w:r w:rsidR="00024AD2" w:rsidRPr="00BD00A9">
        <w:rPr>
          <w:rFonts w:ascii="Times New Roman" w:hAnsi="Times New Roman"/>
          <w:noProof/>
          <w:sz w:val="24"/>
          <w:szCs w:val="24"/>
        </w:rPr>
        <w:t>‘</w:t>
      </w:r>
      <w:r w:rsidR="00CBF04E" w:rsidRPr="00BD00A9">
        <w:rPr>
          <w:rFonts w:ascii="Times New Roman" w:hAnsi="Times New Roman"/>
          <w:noProof/>
          <w:sz w:val="24"/>
          <w:szCs w:val="24"/>
        </w:rPr>
        <w:t>Citizenship Package</w:t>
      </w:r>
      <w:r w:rsidR="00024AD2" w:rsidRPr="00BD00A9">
        <w:rPr>
          <w:rFonts w:ascii="Times New Roman" w:hAnsi="Times New Roman"/>
          <w:noProof/>
          <w:sz w:val="24"/>
          <w:szCs w:val="24"/>
        </w:rPr>
        <w:t>’</w:t>
      </w:r>
      <w:r w:rsidR="00CBF04E" w:rsidRPr="00BD00A9">
        <w:rPr>
          <w:rFonts w:ascii="Times New Roman" w:hAnsi="Times New Roman"/>
          <w:noProof/>
          <w:sz w:val="24"/>
          <w:szCs w:val="24"/>
        </w:rPr>
        <w:t xml:space="preserve">, in time for the next </w:t>
      </w:r>
      <w:r w:rsidR="00875012" w:rsidRPr="00BD00A9">
        <w:rPr>
          <w:rFonts w:ascii="Times New Roman" w:hAnsi="Times New Roman"/>
          <w:noProof/>
          <w:sz w:val="24"/>
          <w:szCs w:val="24"/>
        </w:rPr>
        <w:t xml:space="preserve">elections to the </w:t>
      </w:r>
      <w:r w:rsidR="00CBF04E" w:rsidRPr="00BD00A9">
        <w:rPr>
          <w:rFonts w:ascii="Times New Roman" w:hAnsi="Times New Roman"/>
          <w:noProof/>
          <w:sz w:val="24"/>
          <w:szCs w:val="24"/>
        </w:rPr>
        <w:t>European Parliament in 2024.</w:t>
      </w:r>
      <w:r w:rsidR="00CBF04E" w:rsidRPr="00BD00A9">
        <w:rPr>
          <w:rFonts w:ascii="Times New Roman" w:hAnsi="Times New Roman"/>
          <w:noProof/>
          <w:sz w:val="24"/>
          <w:szCs w:val="24"/>
          <w:lang w:val="en-IE"/>
        </w:rPr>
        <w:t xml:space="preserve"> </w:t>
      </w:r>
    </w:p>
    <w:p w14:paraId="5ECBB7AF" w14:textId="69B6A5F1" w:rsidR="00EF1C56" w:rsidRPr="00BD00A9" w:rsidRDefault="00EF1C56" w:rsidP="00EF1C56">
      <w:pPr>
        <w:spacing w:after="240" w:line="276" w:lineRule="auto"/>
        <w:jc w:val="both"/>
        <w:rPr>
          <w:rFonts w:ascii="Times New Roman" w:hAnsi="Times New Roman"/>
          <w:noProof/>
          <w:sz w:val="24"/>
          <w:szCs w:val="24"/>
          <w:lang w:val="en-IE"/>
        </w:rPr>
      </w:pPr>
      <w:r w:rsidRPr="00BD00A9">
        <w:rPr>
          <w:rFonts w:ascii="Times New Roman" w:eastAsiaTheme="minorEastAsia" w:hAnsi="Times New Roman"/>
          <w:noProof/>
          <w:sz w:val="24"/>
          <w:szCs w:val="24"/>
          <w:lang w:val="en-IE" w:eastAsia="zh-CN"/>
        </w:rPr>
        <w:t xml:space="preserve">As announced in the </w:t>
      </w:r>
      <w:r w:rsidR="00024AD2" w:rsidRPr="00BD00A9">
        <w:rPr>
          <w:rFonts w:ascii="Times New Roman" w:eastAsiaTheme="minorEastAsia" w:hAnsi="Times New Roman"/>
          <w:noProof/>
          <w:sz w:val="24"/>
          <w:szCs w:val="24"/>
          <w:lang w:val="en-IE" w:eastAsia="zh-CN"/>
        </w:rPr>
        <w:t>‘</w:t>
      </w:r>
      <w:r w:rsidRPr="00BD00A9">
        <w:rPr>
          <w:rFonts w:ascii="Times New Roman" w:hAnsi="Times New Roman"/>
          <w:noProof/>
          <w:sz w:val="24"/>
          <w:szCs w:val="24"/>
          <w:lang w:val="en-IE"/>
        </w:rPr>
        <w:t>EU Citizenship Report 2020</w:t>
      </w:r>
      <w:r w:rsidR="00024AD2" w:rsidRPr="00BD00A9">
        <w:rPr>
          <w:rFonts w:ascii="Times New Roman" w:hAnsi="Times New Roman"/>
          <w:noProof/>
          <w:sz w:val="24"/>
          <w:szCs w:val="24"/>
          <w:lang w:val="en-IE"/>
        </w:rPr>
        <w:t>’</w:t>
      </w:r>
      <w:r w:rsidRPr="00BD00A9">
        <w:rPr>
          <w:rFonts w:ascii="Times New Roman" w:hAnsi="Times New Roman"/>
          <w:noProof/>
          <w:sz w:val="24"/>
          <w:szCs w:val="24"/>
          <w:lang w:val="en-IE"/>
        </w:rPr>
        <w:t xml:space="preserve"> Communication, the Commission organised a </w:t>
      </w:r>
      <w:r w:rsidRPr="00BD00A9">
        <w:rPr>
          <w:rFonts w:ascii="Times New Roman" w:hAnsi="Times New Roman"/>
          <w:b/>
          <w:bCs/>
          <w:noProof/>
          <w:sz w:val="24"/>
          <w:szCs w:val="24"/>
          <w:lang w:val="en-IE"/>
        </w:rPr>
        <w:t>high</w:t>
      </w:r>
      <w:r w:rsidR="00090C3F" w:rsidRPr="00BD00A9">
        <w:rPr>
          <w:rFonts w:ascii="Times New Roman" w:hAnsi="Times New Roman"/>
          <w:b/>
          <w:bCs/>
          <w:noProof/>
          <w:sz w:val="24"/>
          <w:szCs w:val="24"/>
          <w:lang w:val="en-IE"/>
        </w:rPr>
        <w:t>-</w:t>
      </w:r>
      <w:r w:rsidRPr="00BD00A9">
        <w:rPr>
          <w:rFonts w:ascii="Times New Roman" w:hAnsi="Times New Roman"/>
          <w:b/>
          <w:bCs/>
          <w:noProof/>
          <w:sz w:val="24"/>
          <w:szCs w:val="24"/>
          <w:lang w:val="en-IE"/>
        </w:rPr>
        <w:t>level event on elections</w:t>
      </w:r>
      <w:r w:rsidRPr="00BD00A9">
        <w:rPr>
          <w:rStyle w:val="FootnoteReference"/>
          <w:rFonts w:ascii="Times New Roman" w:hAnsi="Times New Roman"/>
          <w:noProof/>
          <w:sz w:val="24"/>
          <w:szCs w:val="24"/>
          <w:lang w:val="en-IE"/>
        </w:rPr>
        <w:footnoteReference w:id="127"/>
      </w:r>
      <w:r w:rsidRPr="00BD00A9">
        <w:rPr>
          <w:rFonts w:ascii="Times New Roman" w:hAnsi="Times New Roman"/>
          <w:noProof/>
          <w:sz w:val="24"/>
          <w:szCs w:val="24"/>
          <w:lang w:val="en-IE"/>
        </w:rPr>
        <w:t xml:space="preserve">, addressing topics such as political campaigning, interference, disinformation, protection of election-related infrastructure and </w:t>
      </w:r>
      <w:r w:rsidR="00024AD2" w:rsidRPr="00BD00A9">
        <w:rPr>
          <w:rFonts w:ascii="Times New Roman" w:hAnsi="Times New Roman"/>
          <w:noProof/>
          <w:sz w:val="24"/>
          <w:szCs w:val="24"/>
          <w:lang w:val="en-IE"/>
        </w:rPr>
        <w:t xml:space="preserve">the </w:t>
      </w:r>
      <w:r w:rsidRPr="00BD00A9">
        <w:rPr>
          <w:rFonts w:ascii="Times New Roman" w:hAnsi="Times New Roman"/>
          <w:noProof/>
          <w:sz w:val="24"/>
          <w:szCs w:val="24"/>
          <w:lang w:val="en-IE"/>
        </w:rPr>
        <w:t xml:space="preserve">resilience of </w:t>
      </w:r>
      <w:r w:rsidR="00024AD2" w:rsidRPr="00BD00A9">
        <w:rPr>
          <w:rFonts w:ascii="Times New Roman" w:hAnsi="Times New Roman"/>
          <w:noProof/>
          <w:sz w:val="24"/>
          <w:szCs w:val="24"/>
          <w:lang w:val="en-IE"/>
        </w:rPr>
        <w:t xml:space="preserve">the </w:t>
      </w:r>
      <w:r w:rsidRPr="00BD00A9">
        <w:rPr>
          <w:rFonts w:ascii="Times New Roman" w:hAnsi="Times New Roman"/>
          <w:noProof/>
          <w:sz w:val="24"/>
          <w:szCs w:val="24"/>
          <w:lang w:val="en-IE"/>
        </w:rPr>
        <w:t xml:space="preserve">entities operating it, </w:t>
      </w:r>
      <w:r w:rsidR="00024AD2" w:rsidRPr="00BD00A9">
        <w:rPr>
          <w:rFonts w:ascii="Times New Roman" w:hAnsi="Times New Roman"/>
          <w:noProof/>
          <w:sz w:val="24"/>
          <w:szCs w:val="24"/>
          <w:lang w:val="en-IE"/>
        </w:rPr>
        <w:t xml:space="preserve">ways to </w:t>
      </w:r>
      <w:r w:rsidRPr="00BD00A9">
        <w:rPr>
          <w:rFonts w:ascii="Times New Roman" w:hAnsi="Times New Roman"/>
          <w:noProof/>
          <w:sz w:val="24"/>
          <w:szCs w:val="24"/>
          <w:lang w:val="en-IE"/>
        </w:rPr>
        <w:t>empower citizens to participate in the democratic process</w:t>
      </w:r>
      <w:r w:rsidR="00024AD2" w:rsidRPr="00BD00A9">
        <w:rPr>
          <w:rFonts w:ascii="Times New Roman" w:hAnsi="Times New Roman"/>
          <w:noProof/>
          <w:sz w:val="24"/>
          <w:szCs w:val="24"/>
          <w:lang w:val="en-IE"/>
        </w:rPr>
        <w:t xml:space="preserve"> as voters and candidates</w:t>
      </w:r>
      <w:r w:rsidR="004C54A8" w:rsidRPr="00BD00A9">
        <w:rPr>
          <w:rFonts w:ascii="Times New Roman" w:hAnsi="Times New Roman"/>
          <w:noProof/>
          <w:sz w:val="24"/>
          <w:szCs w:val="24"/>
          <w:lang w:val="en-IE"/>
        </w:rPr>
        <w:t>,</w:t>
      </w:r>
      <w:r w:rsidRPr="00BD00A9">
        <w:rPr>
          <w:rFonts w:ascii="Times New Roman" w:hAnsi="Times New Roman"/>
          <w:noProof/>
          <w:sz w:val="24"/>
          <w:szCs w:val="24"/>
          <w:lang w:val="en-IE"/>
        </w:rPr>
        <w:t xml:space="preserve"> and inclusive democracy. </w:t>
      </w:r>
      <w:r w:rsidR="00817889" w:rsidRPr="00BD00A9">
        <w:rPr>
          <w:rFonts w:ascii="Times New Roman" w:hAnsi="Times New Roman"/>
          <w:noProof/>
          <w:sz w:val="24"/>
          <w:szCs w:val="24"/>
          <w:lang w:val="en-IE"/>
        </w:rPr>
        <w:t>The event, which took place on 23 and 24 October 2023,</w:t>
      </w:r>
      <w:r w:rsidRPr="00BD00A9">
        <w:rPr>
          <w:rFonts w:ascii="Times New Roman" w:hAnsi="Times New Roman"/>
          <w:noProof/>
          <w:sz w:val="24"/>
          <w:szCs w:val="24"/>
          <w:lang w:val="en-IE"/>
        </w:rPr>
        <w:t xml:space="preserve"> provided a unique opportunity for Member States to engage in discussions</w:t>
      </w:r>
      <w:r w:rsidR="00024AD2" w:rsidRPr="00BD00A9">
        <w:rPr>
          <w:rFonts w:ascii="Times New Roman" w:hAnsi="Times New Roman"/>
          <w:noProof/>
          <w:sz w:val="24"/>
          <w:szCs w:val="24"/>
          <w:lang w:val="en-IE"/>
        </w:rPr>
        <w:t xml:space="preserve"> and</w:t>
      </w:r>
      <w:r w:rsidRPr="00BD00A9">
        <w:rPr>
          <w:rFonts w:ascii="Times New Roman" w:hAnsi="Times New Roman"/>
          <w:noProof/>
          <w:sz w:val="24"/>
          <w:szCs w:val="24"/>
          <w:lang w:val="en-IE"/>
        </w:rPr>
        <w:t xml:space="preserve"> exchange ideas and best practices to strengthen electoral processes in the run</w:t>
      </w:r>
      <w:r w:rsidR="00024AD2" w:rsidRPr="00BD00A9">
        <w:rPr>
          <w:rFonts w:ascii="Times New Roman" w:hAnsi="Times New Roman"/>
          <w:noProof/>
          <w:sz w:val="24"/>
          <w:szCs w:val="24"/>
          <w:lang w:val="en-IE"/>
        </w:rPr>
        <w:t>-</w:t>
      </w:r>
      <w:r w:rsidRPr="00BD00A9">
        <w:rPr>
          <w:rFonts w:ascii="Times New Roman" w:hAnsi="Times New Roman"/>
          <w:noProof/>
          <w:sz w:val="24"/>
          <w:szCs w:val="24"/>
          <w:lang w:val="en-IE"/>
        </w:rPr>
        <w:t xml:space="preserve">up to the 2024 </w:t>
      </w:r>
      <w:r w:rsidR="00875012" w:rsidRPr="00BD00A9">
        <w:rPr>
          <w:rFonts w:ascii="Times New Roman" w:hAnsi="Times New Roman"/>
          <w:noProof/>
          <w:sz w:val="24"/>
          <w:szCs w:val="24"/>
          <w:lang w:val="en-IE"/>
        </w:rPr>
        <w:t xml:space="preserve">elections to the </w:t>
      </w:r>
      <w:r w:rsidRPr="00BD00A9">
        <w:rPr>
          <w:rFonts w:ascii="Times New Roman" w:hAnsi="Times New Roman"/>
          <w:noProof/>
          <w:sz w:val="24"/>
          <w:szCs w:val="24"/>
          <w:lang w:val="en-IE"/>
        </w:rPr>
        <w:t>European Parliament.</w:t>
      </w:r>
    </w:p>
    <w:p w14:paraId="4B72864F" w14:textId="330D27FA" w:rsidR="001F5F92" w:rsidRPr="00BD00A9" w:rsidRDefault="003804ED" w:rsidP="00F1691C">
      <w:pPr>
        <w:spacing w:after="240" w:line="276" w:lineRule="auto"/>
        <w:jc w:val="both"/>
        <w:rPr>
          <w:rFonts w:ascii="Times New Roman" w:eastAsiaTheme="minorEastAsia" w:hAnsi="Times New Roman"/>
          <w:noProof/>
          <w:sz w:val="24"/>
          <w:szCs w:val="24"/>
          <w:lang w:val="en-IE" w:eastAsia="zh-CN"/>
        </w:rPr>
      </w:pPr>
      <w:r w:rsidRPr="00BD00A9">
        <w:rPr>
          <w:rFonts w:ascii="Times New Roman" w:eastAsiaTheme="minorEastAsia" w:hAnsi="Times New Roman"/>
          <w:noProof/>
          <w:sz w:val="24"/>
          <w:szCs w:val="24"/>
          <w:lang w:val="en-IE" w:eastAsia="zh-CN"/>
        </w:rPr>
        <w:t xml:space="preserve">On 16 September 2022, the Commission proposed a new </w:t>
      </w:r>
      <w:r w:rsidRPr="00BD00A9">
        <w:rPr>
          <w:rFonts w:ascii="Times New Roman" w:eastAsiaTheme="minorEastAsia" w:hAnsi="Times New Roman"/>
          <w:b/>
          <w:bCs/>
          <w:noProof/>
          <w:sz w:val="24"/>
          <w:szCs w:val="24"/>
          <w:lang w:val="en-IE" w:eastAsia="zh-CN"/>
        </w:rPr>
        <w:t>European Media Freedom Act</w:t>
      </w:r>
      <w:r w:rsidRPr="00BD00A9">
        <w:rPr>
          <w:rStyle w:val="FootnoteReference"/>
          <w:rFonts w:ascii="Times New Roman" w:eastAsiaTheme="minorEastAsia" w:hAnsi="Times New Roman"/>
          <w:noProof/>
          <w:sz w:val="24"/>
          <w:szCs w:val="24"/>
          <w:lang w:val="en-IE" w:eastAsia="zh-CN"/>
        </w:rPr>
        <w:footnoteReference w:id="128"/>
      </w:r>
      <w:r w:rsidR="00024AD2" w:rsidRPr="00BD00A9">
        <w:rPr>
          <w:rFonts w:ascii="Times New Roman" w:eastAsiaTheme="minorEastAsia" w:hAnsi="Times New Roman"/>
          <w:b/>
          <w:bCs/>
          <w:noProof/>
          <w:sz w:val="24"/>
          <w:szCs w:val="24"/>
          <w:lang w:val="en-IE" w:eastAsia="zh-CN"/>
        </w:rPr>
        <w:t xml:space="preserve"> (</w:t>
      </w:r>
      <w:r w:rsidR="00024AD2" w:rsidRPr="00BD00A9">
        <w:rPr>
          <w:rFonts w:ascii="Times New Roman" w:eastAsiaTheme="minorEastAsia" w:hAnsi="Times New Roman"/>
          <w:noProof/>
          <w:sz w:val="24"/>
          <w:szCs w:val="24"/>
          <w:lang w:val="en-IE" w:eastAsia="zh-CN"/>
        </w:rPr>
        <w:t>the Act)</w:t>
      </w:r>
      <w:r w:rsidRPr="00BD00A9">
        <w:rPr>
          <w:rFonts w:ascii="Times New Roman" w:eastAsiaTheme="minorEastAsia" w:hAnsi="Times New Roman"/>
          <w:noProof/>
          <w:sz w:val="24"/>
          <w:szCs w:val="24"/>
          <w:lang w:val="en-IE" w:eastAsia="zh-CN"/>
        </w:rPr>
        <w:t>, a n</w:t>
      </w:r>
      <w:r w:rsidR="00024AD2" w:rsidRPr="00BD00A9">
        <w:rPr>
          <w:rFonts w:ascii="Times New Roman" w:eastAsiaTheme="minorEastAsia" w:hAnsi="Times New Roman"/>
          <w:noProof/>
          <w:sz w:val="24"/>
          <w:szCs w:val="24"/>
          <w:lang w:val="en-IE" w:eastAsia="zh-CN"/>
        </w:rPr>
        <w:t>ew</w:t>
      </w:r>
      <w:r w:rsidRPr="00BD00A9">
        <w:rPr>
          <w:rFonts w:ascii="Times New Roman" w:eastAsiaTheme="minorEastAsia" w:hAnsi="Times New Roman"/>
          <w:noProof/>
          <w:sz w:val="24"/>
          <w:szCs w:val="24"/>
          <w:lang w:val="en-IE" w:eastAsia="zh-CN"/>
        </w:rPr>
        <w:t xml:space="preserve"> set of rules to </w:t>
      </w:r>
      <w:r w:rsidR="00206677" w:rsidRPr="00BD00A9">
        <w:rPr>
          <w:rFonts w:ascii="Times New Roman" w:eastAsiaTheme="minorEastAsia" w:hAnsi="Times New Roman"/>
          <w:noProof/>
          <w:sz w:val="24"/>
          <w:szCs w:val="24"/>
          <w:lang w:val="en-IE" w:eastAsia="zh-CN"/>
        </w:rPr>
        <w:t xml:space="preserve">strengthen the operation of the internal market for media services and </w:t>
      </w:r>
      <w:r w:rsidRPr="00BD00A9">
        <w:rPr>
          <w:rFonts w:ascii="Times New Roman" w:eastAsiaTheme="minorEastAsia" w:hAnsi="Times New Roman"/>
          <w:noProof/>
          <w:sz w:val="24"/>
          <w:szCs w:val="24"/>
          <w:lang w:val="en-IE" w:eastAsia="zh-CN"/>
        </w:rPr>
        <w:t xml:space="preserve">protect media pluralism and independence in the EU. The proposed </w:t>
      </w:r>
      <w:r w:rsidR="00024AD2" w:rsidRPr="00BD00A9">
        <w:rPr>
          <w:rFonts w:ascii="Times New Roman" w:eastAsiaTheme="minorEastAsia" w:hAnsi="Times New Roman"/>
          <w:noProof/>
          <w:sz w:val="24"/>
          <w:szCs w:val="24"/>
          <w:lang w:val="en-IE" w:eastAsia="zh-CN"/>
        </w:rPr>
        <w:t>r</w:t>
      </w:r>
      <w:r w:rsidRPr="00BD00A9">
        <w:rPr>
          <w:rFonts w:ascii="Times New Roman" w:eastAsiaTheme="minorEastAsia" w:hAnsi="Times New Roman"/>
          <w:noProof/>
          <w:sz w:val="24"/>
          <w:szCs w:val="24"/>
          <w:lang w:val="en-IE" w:eastAsia="zh-CN"/>
        </w:rPr>
        <w:t>egulation</w:t>
      </w:r>
      <w:r w:rsidRPr="00BD00A9">
        <w:rPr>
          <w:rStyle w:val="FootnoteReference"/>
          <w:rFonts w:ascii="Times New Roman" w:eastAsiaTheme="minorEastAsia" w:hAnsi="Times New Roman"/>
          <w:noProof/>
          <w:sz w:val="24"/>
          <w:szCs w:val="24"/>
          <w:lang w:val="en-IE" w:eastAsia="zh-CN"/>
        </w:rPr>
        <w:footnoteReference w:id="129"/>
      </w:r>
      <w:r w:rsidRPr="00BD00A9">
        <w:rPr>
          <w:rFonts w:ascii="Times New Roman" w:eastAsiaTheme="minorEastAsia" w:hAnsi="Times New Roman"/>
          <w:noProof/>
          <w:sz w:val="24"/>
          <w:szCs w:val="24"/>
          <w:lang w:val="en-IE" w:eastAsia="zh-CN"/>
        </w:rPr>
        <w:t xml:space="preserve"> includes</w:t>
      </w:r>
      <w:r w:rsidR="00024AD2" w:rsidRPr="00BD00A9">
        <w:rPr>
          <w:rFonts w:ascii="Times New Roman" w:eastAsiaTheme="minorEastAsia" w:hAnsi="Times New Roman"/>
          <w:noProof/>
          <w:sz w:val="24"/>
          <w:szCs w:val="24"/>
          <w:lang w:val="en-IE" w:eastAsia="zh-CN"/>
        </w:rPr>
        <w:t xml:space="preserve"> </w:t>
      </w:r>
      <w:r w:rsidRPr="00BD00A9">
        <w:rPr>
          <w:rFonts w:ascii="Times New Roman" w:eastAsiaTheme="minorEastAsia" w:hAnsi="Times New Roman"/>
          <w:noProof/>
          <w:sz w:val="24"/>
          <w:szCs w:val="24"/>
          <w:lang w:val="en-IE" w:eastAsia="zh-CN"/>
        </w:rPr>
        <w:t>safeguards against political interference in editorial decisions and against surveillance</w:t>
      </w:r>
      <w:r w:rsidR="00024AD2" w:rsidRPr="00BD00A9">
        <w:rPr>
          <w:rFonts w:ascii="Times New Roman" w:eastAsiaTheme="minorEastAsia" w:hAnsi="Times New Roman"/>
          <w:noProof/>
          <w:sz w:val="24"/>
          <w:szCs w:val="24"/>
          <w:lang w:val="en-IE" w:eastAsia="zh-CN"/>
        </w:rPr>
        <w:t>, among other measures</w:t>
      </w:r>
      <w:r w:rsidRPr="00BD00A9">
        <w:rPr>
          <w:rFonts w:ascii="Times New Roman" w:eastAsiaTheme="minorEastAsia" w:hAnsi="Times New Roman"/>
          <w:noProof/>
          <w:sz w:val="24"/>
          <w:szCs w:val="24"/>
          <w:lang w:val="en-IE" w:eastAsia="zh-CN"/>
        </w:rPr>
        <w:t>. It focus</w:t>
      </w:r>
      <w:r w:rsidR="00024AD2" w:rsidRPr="00BD00A9">
        <w:rPr>
          <w:rFonts w:ascii="Times New Roman" w:eastAsiaTheme="minorEastAsia" w:hAnsi="Times New Roman"/>
          <w:noProof/>
          <w:sz w:val="24"/>
          <w:szCs w:val="24"/>
          <w:lang w:val="en-IE" w:eastAsia="zh-CN"/>
        </w:rPr>
        <w:t>es</w:t>
      </w:r>
      <w:r w:rsidRPr="00BD00A9">
        <w:rPr>
          <w:rFonts w:ascii="Times New Roman" w:eastAsiaTheme="minorEastAsia" w:hAnsi="Times New Roman"/>
          <w:noProof/>
          <w:sz w:val="24"/>
          <w:szCs w:val="24"/>
          <w:lang w:val="en-IE" w:eastAsia="zh-CN"/>
        </w:rPr>
        <w:t xml:space="preserve"> on the independence and stable funding of public</w:t>
      </w:r>
      <w:r w:rsidR="00024AD2" w:rsidRPr="00BD00A9">
        <w:rPr>
          <w:rFonts w:ascii="Times New Roman" w:eastAsiaTheme="minorEastAsia" w:hAnsi="Times New Roman"/>
          <w:noProof/>
          <w:sz w:val="24"/>
          <w:szCs w:val="24"/>
          <w:lang w:val="en-IE" w:eastAsia="zh-CN"/>
        </w:rPr>
        <w:t>-</w:t>
      </w:r>
      <w:r w:rsidRPr="00BD00A9">
        <w:rPr>
          <w:rFonts w:ascii="Times New Roman" w:eastAsiaTheme="minorEastAsia" w:hAnsi="Times New Roman"/>
          <w:noProof/>
          <w:sz w:val="24"/>
          <w:szCs w:val="24"/>
          <w:lang w:val="en-IE" w:eastAsia="zh-CN"/>
        </w:rPr>
        <w:t>service media</w:t>
      </w:r>
      <w:r w:rsidR="00024AD2" w:rsidRPr="00BD00A9">
        <w:rPr>
          <w:rFonts w:ascii="Times New Roman" w:eastAsiaTheme="minorEastAsia" w:hAnsi="Times New Roman"/>
          <w:noProof/>
          <w:sz w:val="24"/>
          <w:szCs w:val="24"/>
          <w:lang w:val="en-IE" w:eastAsia="zh-CN"/>
        </w:rPr>
        <w:t>, and</w:t>
      </w:r>
      <w:r w:rsidRPr="00BD00A9">
        <w:rPr>
          <w:rFonts w:ascii="Times New Roman" w:eastAsiaTheme="minorEastAsia" w:hAnsi="Times New Roman"/>
          <w:noProof/>
          <w:sz w:val="24"/>
          <w:szCs w:val="24"/>
          <w:lang w:val="en-IE" w:eastAsia="zh-CN"/>
        </w:rPr>
        <w:t xml:space="preserve"> on the transparency of media ownership and of the allocation of state advertising. It also sets out measures to protect </w:t>
      </w:r>
      <w:r w:rsidR="00024AD2" w:rsidRPr="00BD00A9">
        <w:rPr>
          <w:rFonts w:ascii="Times New Roman" w:eastAsiaTheme="minorEastAsia" w:hAnsi="Times New Roman"/>
          <w:noProof/>
          <w:sz w:val="24"/>
          <w:szCs w:val="24"/>
          <w:lang w:val="en-IE" w:eastAsia="zh-CN"/>
        </w:rPr>
        <w:t xml:space="preserve">the </w:t>
      </w:r>
      <w:r w:rsidRPr="00BD00A9">
        <w:rPr>
          <w:rFonts w:ascii="Times New Roman" w:eastAsiaTheme="minorEastAsia" w:hAnsi="Times New Roman"/>
          <w:noProof/>
          <w:sz w:val="24"/>
          <w:szCs w:val="24"/>
          <w:lang w:val="en-IE" w:eastAsia="zh-CN"/>
        </w:rPr>
        <w:t xml:space="preserve">independence of editors and disclose conflicts of interest. Finally, the Act </w:t>
      </w:r>
      <w:r w:rsidR="00923AE5" w:rsidRPr="00BD00A9">
        <w:rPr>
          <w:rFonts w:ascii="Times New Roman" w:eastAsiaTheme="minorEastAsia" w:hAnsi="Times New Roman"/>
          <w:noProof/>
          <w:sz w:val="24"/>
          <w:szCs w:val="24"/>
          <w:lang w:val="en-IE" w:eastAsia="zh-CN"/>
        </w:rPr>
        <w:t xml:space="preserve">aims to </w:t>
      </w:r>
      <w:r w:rsidRPr="00BD00A9">
        <w:rPr>
          <w:rFonts w:ascii="Times New Roman" w:eastAsiaTheme="minorEastAsia" w:hAnsi="Times New Roman"/>
          <w:noProof/>
          <w:sz w:val="24"/>
          <w:szCs w:val="24"/>
          <w:lang w:val="en-IE" w:eastAsia="zh-CN"/>
        </w:rPr>
        <w:t xml:space="preserve">address the issue of media concentrations and </w:t>
      </w:r>
      <w:r w:rsidR="00923AE5" w:rsidRPr="00BD00A9">
        <w:rPr>
          <w:rFonts w:ascii="Times New Roman" w:eastAsiaTheme="minorEastAsia" w:hAnsi="Times New Roman"/>
          <w:noProof/>
          <w:sz w:val="24"/>
          <w:szCs w:val="24"/>
          <w:lang w:val="en-IE" w:eastAsia="zh-CN"/>
        </w:rPr>
        <w:t xml:space="preserve">to </w:t>
      </w:r>
      <w:r w:rsidRPr="00BD00A9">
        <w:rPr>
          <w:rFonts w:ascii="Times New Roman" w:eastAsiaTheme="minorEastAsia" w:hAnsi="Times New Roman"/>
          <w:noProof/>
          <w:sz w:val="24"/>
          <w:szCs w:val="24"/>
          <w:lang w:val="en-IE" w:eastAsia="zh-CN"/>
        </w:rPr>
        <w:t>create a new independent European Board for Media Services, comprised of national media authorities.</w:t>
      </w:r>
    </w:p>
    <w:p w14:paraId="7E065E84" w14:textId="73D55CFE" w:rsidR="00F1691C" w:rsidRPr="0020492F" w:rsidRDefault="00E3522A" w:rsidP="00A71DC0">
      <w:pPr>
        <w:spacing w:line="276" w:lineRule="auto"/>
        <w:jc w:val="both"/>
        <w:rPr>
          <w:rFonts w:ascii="Times New Roman" w:eastAsiaTheme="minorEastAsia" w:hAnsi="Times New Roman"/>
          <w:noProof/>
          <w:sz w:val="24"/>
          <w:szCs w:val="24"/>
          <w:lang w:val="en-IE" w:eastAsia="zh-CN"/>
        </w:rPr>
      </w:pPr>
      <w:bookmarkStart w:id="68" w:name="_Hlk151720156"/>
      <w:r w:rsidRPr="00E3522A">
        <w:rPr>
          <w:rFonts w:ascii="Times New Roman" w:eastAsiaTheme="minorEastAsia" w:hAnsi="Times New Roman"/>
          <w:noProof/>
          <w:sz w:val="24"/>
          <w:szCs w:val="24"/>
          <w:lang w:val="en-IE" w:eastAsia="zh-CN"/>
        </w:rPr>
        <w:t>The Commission is preparing a set of initiatives on the ‘</w:t>
      </w:r>
      <w:r w:rsidRPr="00E3522A">
        <w:rPr>
          <w:rFonts w:ascii="Times New Roman" w:eastAsiaTheme="minorEastAsia" w:hAnsi="Times New Roman"/>
          <w:b/>
          <w:bCs/>
          <w:noProof/>
          <w:sz w:val="24"/>
          <w:szCs w:val="24"/>
          <w:lang w:val="en-IE" w:eastAsia="zh-CN"/>
        </w:rPr>
        <w:t>Defence of Democracy</w:t>
      </w:r>
      <w:r w:rsidRPr="00E3522A">
        <w:rPr>
          <w:rFonts w:ascii="Times New Roman" w:eastAsiaTheme="minorEastAsia" w:hAnsi="Times New Roman"/>
          <w:noProof/>
          <w:sz w:val="24"/>
          <w:szCs w:val="24"/>
          <w:lang w:val="en-IE" w:eastAsia="zh-CN"/>
        </w:rPr>
        <w:t>’ to support common EU standards in addressing specific threats and encouraging inclusive civic engagement and citizen participation in our democracies, building on the European Democracy Action Plan.</w:t>
      </w:r>
      <w:r>
        <w:rPr>
          <w:rFonts w:ascii="Times New Roman" w:eastAsiaTheme="minorEastAsia" w:hAnsi="Times New Roman"/>
          <w:noProof/>
          <w:sz w:val="24"/>
          <w:szCs w:val="24"/>
          <w:lang w:val="en-IE" w:eastAsia="zh-CN"/>
        </w:rPr>
        <w:t xml:space="preserve"> </w:t>
      </w:r>
      <w:r w:rsidR="0020492F" w:rsidRPr="0020492F">
        <w:rPr>
          <w:rFonts w:ascii="Times New Roman" w:eastAsiaTheme="minorEastAsia" w:hAnsi="Times New Roman"/>
          <w:noProof/>
          <w:sz w:val="24"/>
          <w:szCs w:val="24"/>
          <w:lang w:val="en-IE" w:eastAsia="zh-CN"/>
        </w:rPr>
        <w:t>The legislative initiative under the Defence of Democracy package would introduce common transparency and</w:t>
      </w:r>
      <w:r w:rsidR="0020492F">
        <w:rPr>
          <w:rFonts w:ascii="Times New Roman" w:eastAsiaTheme="minorEastAsia" w:hAnsi="Times New Roman"/>
          <w:noProof/>
          <w:sz w:val="24"/>
          <w:szCs w:val="24"/>
          <w:lang w:val="en-IE" w:eastAsia="zh-CN"/>
        </w:rPr>
        <w:t xml:space="preserve"> </w:t>
      </w:r>
      <w:r w:rsidR="0020492F" w:rsidRPr="0020492F">
        <w:rPr>
          <w:rFonts w:ascii="Times New Roman" w:eastAsiaTheme="minorEastAsia" w:hAnsi="Times New Roman"/>
          <w:noProof/>
          <w:sz w:val="24"/>
          <w:szCs w:val="24"/>
          <w:lang w:val="en-IE" w:eastAsia="zh-CN"/>
        </w:rPr>
        <w:t>accountability standards in the internal market for interest representation activities seeking to</w:t>
      </w:r>
      <w:r w:rsidR="0020492F">
        <w:rPr>
          <w:rFonts w:ascii="Times New Roman" w:eastAsiaTheme="minorEastAsia" w:hAnsi="Times New Roman"/>
          <w:noProof/>
          <w:sz w:val="24"/>
          <w:szCs w:val="24"/>
          <w:lang w:val="en-IE" w:eastAsia="zh-CN"/>
        </w:rPr>
        <w:t xml:space="preserve"> </w:t>
      </w:r>
      <w:r w:rsidR="0020492F" w:rsidRPr="0020492F">
        <w:rPr>
          <w:rFonts w:ascii="Times New Roman" w:eastAsiaTheme="minorEastAsia" w:hAnsi="Times New Roman"/>
          <w:noProof/>
          <w:sz w:val="24"/>
          <w:szCs w:val="24"/>
          <w:lang w:val="en-IE" w:eastAsia="zh-CN"/>
        </w:rPr>
        <w:t xml:space="preserve">influence the decision-making process in the </w:t>
      </w:r>
      <w:r w:rsidR="0020492F">
        <w:rPr>
          <w:rFonts w:ascii="Times New Roman" w:eastAsiaTheme="minorEastAsia" w:hAnsi="Times New Roman"/>
          <w:noProof/>
          <w:sz w:val="24"/>
          <w:szCs w:val="24"/>
          <w:lang w:val="en-IE" w:eastAsia="zh-CN"/>
        </w:rPr>
        <w:t>EU</w:t>
      </w:r>
      <w:r w:rsidR="0020492F" w:rsidRPr="0020492F">
        <w:rPr>
          <w:rFonts w:ascii="Times New Roman" w:eastAsiaTheme="minorEastAsia" w:hAnsi="Times New Roman"/>
          <w:noProof/>
          <w:sz w:val="24"/>
          <w:szCs w:val="24"/>
          <w:lang w:val="en-IE" w:eastAsia="zh-CN"/>
        </w:rPr>
        <w:t xml:space="preserve"> and carried out on behalf of third countries. The package should </w:t>
      </w:r>
      <w:r w:rsidR="0020492F">
        <w:rPr>
          <w:rFonts w:ascii="Times New Roman" w:eastAsiaTheme="minorEastAsia" w:hAnsi="Times New Roman"/>
          <w:noProof/>
          <w:sz w:val="24"/>
          <w:szCs w:val="24"/>
          <w:lang w:val="en-IE" w:eastAsia="zh-CN"/>
        </w:rPr>
        <w:t xml:space="preserve">also </w:t>
      </w:r>
      <w:r w:rsidR="0020492F" w:rsidRPr="0020492F">
        <w:rPr>
          <w:rFonts w:ascii="Times New Roman" w:eastAsiaTheme="minorEastAsia" w:hAnsi="Times New Roman"/>
          <w:noProof/>
          <w:sz w:val="24"/>
          <w:szCs w:val="24"/>
          <w:lang w:val="en-IE" w:eastAsia="zh-CN"/>
        </w:rPr>
        <w:t xml:space="preserve">include – in form of a Commission Recommendation – a dedicated initiative to foster an enabling civic space and promote the inclusive and effective participation of citizens and civil society organisations in the public policy making processes. At the same time, a Recommendation on inclusive and resilient electoral processes should be added to the package to promote high standards on European and other elections and referenda at national level. These proposed measures are beneficial at all institutional levels and for all democratic processes.  </w:t>
      </w:r>
    </w:p>
    <w:bookmarkEnd w:id="68"/>
    <w:p w14:paraId="63D41140" w14:textId="0B6D31A4" w:rsidR="00BA29EE" w:rsidRPr="00BD00A9" w:rsidRDefault="00DD25C9" w:rsidP="00DD25C9">
      <w:pPr>
        <w:spacing w:after="240" w:line="276" w:lineRule="auto"/>
        <w:jc w:val="both"/>
        <w:rPr>
          <w:rFonts w:ascii="Times New Roman" w:eastAsiaTheme="minorEastAsia" w:hAnsi="Times New Roman"/>
          <w:noProof/>
          <w:sz w:val="24"/>
          <w:szCs w:val="24"/>
          <w:lang w:val="en-IE" w:eastAsia="zh-CN"/>
        </w:rPr>
      </w:pPr>
      <w:r w:rsidRPr="00BD00A9">
        <w:rPr>
          <w:rFonts w:ascii="Times New Roman" w:eastAsiaTheme="minorEastAsia" w:hAnsi="Times New Roman"/>
          <w:b/>
          <w:bCs/>
          <w:noProof/>
          <w:sz w:val="24"/>
          <w:szCs w:val="24"/>
          <w:lang w:val="en-IE" w:eastAsia="zh-CN"/>
        </w:rPr>
        <w:t xml:space="preserve">Increasing citizens’ involvement at all stages of the democratic process is </w:t>
      </w:r>
      <w:r w:rsidR="00EF1C56" w:rsidRPr="00BD00A9">
        <w:rPr>
          <w:rFonts w:ascii="Times New Roman" w:eastAsiaTheme="minorEastAsia" w:hAnsi="Times New Roman"/>
          <w:b/>
          <w:bCs/>
          <w:noProof/>
          <w:sz w:val="24"/>
          <w:szCs w:val="24"/>
          <w:lang w:val="en-IE" w:eastAsia="zh-CN"/>
        </w:rPr>
        <w:t xml:space="preserve">also </w:t>
      </w:r>
      <w:r w:rsidRPr="00BD00A9">
        <w:rPr>
          <w:rFonts w:ascii="Times New Roman" w:eastAsiaTheme="minorEastAsia" w:hAnsi="Times New Roman"/>
          <w:b/>
          <w:bCs/>
          <w:noProof/>
          <w:sz w:val="24"/>
          <w:szCs w:val="24"/>
          <w:lang w:val="en-IE" w:eastAsia="zh-CN"/>
        </w:rPr>
        <w:t>key for European democracy.</w:t>
      </w:r>
      <w:r w:rsidRPr="00BD00A9">
        <w:rPr>
          <w:rFonts w:ascii="Times New Roman" w:eastAsiaTheme="minorEastAsia" w:hAnsi="Times New Roman"/>
          <w:noProof/>
          <w:sz w:val="24"/>
          <w:szCs w:val="24"/>
          <w:lang w:val="en-IE" w:eastAsia="zh-CN"/>
        </w:rPr>
        <w:t xml:space="preserve"> The </w:t>
      </w:r>
      <w:r w:rsidRPr="00BD00A9">
        <w:rPr>
          <w:rFonts w:ascii="Times New Roman" w:eastAsiaTheme="minorEastAsia" w:hAnsi="Times New Roman"/>
          <w:b/>
          <w:bCs/>
          <w:noProof/>
          <w:sz w:val="24"/>
          <w:szCs w:val="24"/>
          <w:lang w:val="en-IE" w:eastAsia="zh-CN"/>
        </w:rPr>
        <w:t>Conference on the Future of Europe</w:t>
      </w:r>
      <w:r w:rsidRPr="00BD00A9">
        <w:rPr>
          <w:rFonts w:ascii="Times New Roman" w:eastAsiaTheme="minorEastAsia" w:hAnsi="Times New Roman"/>
          <w:noProof/>
          <w:sz w:val="24"/>
          <w:szCs w:val="24"/>
          <w:lang w:val="en-IE" w:eastAsia="zh-CN"/>
        </w:rPr>
        <w:t xml:space="preserve">, held </w:t>
      </w:r>
      <w:r w:rsidR="002045D5" w:rsidRPr="00BD00A9">
        <w:rPr>
          <w:rFonts w:ascii="Times New Roman" w:eastAsiaTheme="minorEastAsia" w:hAnsi="Times New Roman"/>
          <w:noProof/>
          <w:sz w:val="24"/>
          <w:szCs w:val="24"/>
          <w:lang w:val="en-IE" w:eastAsia="zh-CN"/>
        </w:rPr>
        <w:t>from April 2021 to May 2022</w:t>
      </w:r>
      <w:r w:rsidRPr="00BD00A9">
        <w:rPr>
          <w:rFonts w:ascii="Times New Roman" w:eastAsiaTheme="minorEastAsia" w:hAnsi="Times New Roman"/>
          <w:noProof/>
          <w:sz w:val="24"/>
          <w:szCs w:val="24"/>
          <w:lang w:val="en-IE" w:eastAsia="zh-CN"/>
        </w:rPr>
        <w:t xml:space="preserve">, was a major pan-European deliberative democracy exercise. </w:t>
      </w:r>
      <w:r w:rsidR="00BA29EE" w:rsidRPr="00BD00A9">
        <w:rPr>
          <w:rFonts w:ascii="Times New Roman" w:eastAsiaTheme="minorEastAsia" w:hAnsi="Times New Roman"/>
          <w:noProof/>
          <w:sz w:val="24"/>
          <w:szCs w:val="24"/>
          <w:lang w:val="en-IE" w:eastAsia="zh-CN"/>
        </w:rPr>
        <w:t xml:space="preserve">The Commission was one of the EU institutions to have supported the organisation of the Conference on the Future of Europe and is committed to its follow-up. </w:t>
      </w:r>
    </w:p>
    <w:p w14:paraId="7AEFE281" w14:textId="1C0479AC" w:rsidR="00BA29EE" w:rsidRPr="00BD00A9" w:rsidRDefault="05FA1DA4" w:rsidP="4FAC546D">
      <w:pPr>
        <w:spacing w:after="240" w:line="276" w:lineRule="auto"/>
        <w:jc w:val="both"/>
        <w:rPr>
          <w:rFonts w:ascii="Times New Roman" w:eastAsiaTheme="minorEastAsia" w:hAnsi="Times New Roman"/>
          <w:noProof/>
          <w:sz w:val="24"/>
          <w:szCs w:val="24"/>
          <w:lang w:val="en-IE" w:eastAsia="zh-CN"/>
        </w:rPr>
      </w:pPr>
      <w:r w:rsidRPr="00BD00A9">
        <w:rPr>
          <w:rFonts w:ascii="Times New Roman" w:eastAsiaTheme="minorEastAsia" w:hAnsi="Times New Roman"/>
          <w:noProof/>
          <w:sz w:val="24"/>
          <w:szCs w:val="24"/>
          <w:lang w:val="en-IE" w:eastAsia="zh-CN"/>
        </w:rPr>
        <w:t>In a Communication published in June 2022</w:t>
      </w:r>
      <w:r w:rsidR="00BA29EE" w:rsidRPr="00BD00A9">
        <w:rPr>
          <w:rStyle w:val="FootnoteReference"/>
          <w:rFonts w:ascii="Times New Roman" w:eastAsiaTheme="minorEastAsia" w:hAnsi="Times New Roman"/>
          <w:noProof/>
          <w:sz w:val="24"/>
          <w:szCs w:val="24"/>
          <w:lang w:val="en-IE" w:eastAsia="zh-CN"/>
        </w:rPr>
        <w:footnoteReference w:id="130"/>
      </w:r>
      <w:r w:rsidRPr="00BD00A9">
        <w:rPr>
          <w:rFonts w:ascii="Times New Roman" w:eastAsiaTheme="minorEastAsia" w:hAnsi="Times New Roman"/>
          <w:noProof/>
          <w:sz w:val="24"/>
          <w:szCs w:val="24"/>
          <w:lang w:val="en-IE" w:eastAsia="zh-CN"/>
        </w:rPr>
        <w:t xml:space="preserve">, the Commission committed to embedding participatory and deliberative processes in key moments and areas of its policymaking, with the </w:t>
      </w:r>
      <w:r w:rsidRPr="00BD00A9">
        <w:rPr>
          <w:rFonts w:ascii="Times New Roman" w:eastAsiaTheme="minorEastAsia" w:hAnsi="Times New Roman"/>
          <w:b/>
          <w:bCs/>
          <w:noProof/>
          <w:sz w:val="24"/>
          <w:szCs w:val="24"/>
          <w:lang w:val="en-IE" w:eastAsia="zh-CN"/>
        </w:rPr>
        <w:t>European Citizens</w:t>
      </w:r>
      <w:r w:rsidR="5DA8C6C1" w:rsidRPr="00BD00A9">
        <w:rPr>
          <w:rFonts w:ascii="Times New Roman" w:eastAsiaTheme="minorEastAsia" w:hAnsi="Times New Roman"/>
          <w:b/>
          <w:bCs/>
          <w:noProof/>
          <w:sz w:val="24"/>
          <w:szCs w:val="24"/>
          <w:lang w:val="en-IE" w:eastAsia="zh-CN"/>
        </w:rPr>
        <w:t>’</w:t>
      </w:r>
      <w:r w:rsidRPr="00BD00A9">
        <w:rPr>
          <w:rFonts w:ascii="Times New Roman" w:eastAsiaTheme="minorEastAsia" w:hAnsi="Times New Roman"/>
          <w:b/>
          <w:bCs/>
          <w:noProof/>
          <w:sz w:val="24"/>
          <w:szCs w:val="24"/>
          <w:lang w:val="en-IE" w:eastAsia="zh-CN"/>
        </w:rPr>
        <w:t xml:space="preserve"> Panels</w:t>
      </w:r>
      <w:r w:rsidR="004615FB" w:rsidRPr="00BD00A9">
        <w:rPr>
          <w:rStyle w:val="FootnoteReference"/>
          <w:rFonts w:ascii="Times New Roman" w:eastAsiaTheme="minorEastAsia" w:hAnsi="Times New Roman"/>
          <w:noProof/>
          <w:sz w:val="24"/>
          <w:szCs w:val="24"/>
          <w:lang w:val="en-IE" w:eastAsia="zh-CN"/>
        </w:rPr>
        <w:footnoteReference w:id="131"/>
      </w:r>
      <w:r w:rsidRPr="00BD00A9">
        <w:rPr>
          <w:rFonts w:ascii="Times New Roman" w:eastAsiaTheme="minorEastAsia" w:hAnsi="Times New Roman"/>
          <w:noProof/>
          <w:sz w:val="24"/>
          <w:szCs w:val="24"/>
          <w:lang w:val="en-IE" w:eastAsia="zh-CN"/>
        </w:rPr>
        <w:t xml:space="preserve"> becoming a </w:t>
      </w:r>
      <w:r w:rsidR="00024AD2" w:rsidRPr="00BD00A9">
        <w:rPr>
          <w:rFonts w:ascii="Times New Roman" w:eastAsiaTheme="minorEastAsia" w:hAnsi="Times New Roman"/>
          <w:noProof/>
          <w:sz w:val="24"/>
          <w:szCs w:val="24"/>
          <w:lang w:val="en-IE" w:eastAsia="zh-CN"/>
        </w:rPr>
        <w:t>‘</w:t>
      </w:r>
      <w:r w:rsidRPr="00BD00A9">
        <w:rPr>
          <w:rFonts w:ascii="Times New Roman" w:eastAsiaTheme="minorEastAsia" w:hAnsi="Times New Roman"/>
          <w:noProof/>
          <w:sz w:val="24"/>
          <w:szCs w:val="24"/>
          <w:lang w:val="en-IE" w:eastAsia="zh-CN"/>
        </w:rPr>
        <w:t>regular feature of our democratic life</w:t>
      </w:r>
      <w:r w:rsidR="00024AD2" w:rsidRPr="00BD00A9">
        <w:rPr>
          <w:rFonts w:ascii="Times New Roman" w:eastAsiaTheme="minorEastAsia" w:hAnsi="Times New Roman"/>
          <w:noProof/>
          <w:sz w:val="24"/>
          <w:szCs w:val="24"/>
          <w:lang w:val="en-IE" w:eastAsia="zh-CN"/>
        </w:rPr>
        <w:t>’</w:t>
      </w:r>
      <w:r w:rsidRPr="00BD00A9">
        <w:rPr>
          <w:rFonts w:ascii="Times New Roman" w:eastAsiaTheme="minorEastAsia" w:hAnsi="Times New Roman"/>
          <w:noProof/>
          <w:sz w:val="24"/>
          <w:szCs w:val="24"/>
          <w:lang w:val="en-IE" w:eastAsia="zh-CN"/>
        </w:rPr>
        <w:t xml:space="preserve">. </w:t>
      </w:r>
      <w:r w:rsidR="00817889" w:rsidRPr="00BD00A9">
        <w:rPr>
          <w:rFonts w:ascii="Times New Roman" w:eastAsiaTheme="minorEastAsia" w:hAnsi="Times New Roman"/>
          <w:noProof/>
          <w:sz w:val="24"/>
          <w:szCs w:val="24"/>
          <w:lang w:val="en-IE" w:eastAsia="zh-CN"/>
        </w:rPr>
        <w:t xml:space="preserve">Citizens’ Reports inform the </w:t>
      </w:r>
      <w:r w:rsidR="00923AE5" w:rsidRPr="00BD00A9">
        <w:rPr>
          <w:rFonts w:ascii="Times New Roman" w:eastAsiaTheme="minorEastAsia" w:hAnsi="Times New Roman"/>
          <w:noProof/>
          <w:sz w:val="24"/>
          <w:szCs w:val="24"/>
          <w:lang w:val="en-IE" w:eastAsia="zh-CN"/>
        </w:rPr>
        <w:t xml:space="preserve">Commission </w:t>
      </w:r>
      <w:r w:rsidR="00817889" w:rsidRPr="00BD00A9">
        <w:rPr>
          <w:rFonts w:ascii="Times New Roman" w:eastAsiaTheme="minorEastAsia" w:hAnsi="Times New Roman"/>
          <w:noProof/>
          <w:sz w:val="24"/>
          <w:szCs w:val="24"/>
          <w:lang w:val="en-IE" w:eastAsia="zh-CN"/>
        </w:rPr>
        <w:t xml:space="preserve">ahead of the adoption of each initiative and the recommendations are an integral part of each package. </w:t>
      </w:r>
      <w:r w:rsidRPr="00BD00A9">
        <w:rPr>
          <w:rFonts w:ascii="Times New Roman" w:eastAsiaTheme="minorEastAsia" w:hAnsi="Times New Roman"/>
          <w:noProof/>
          <w:sz w:val="24"/>
          <w:szCs w:val="24"/>
          <w:lang w:val="en-IE" w:eastAsia="zh-CN"/>
        </w:rPr>
        <w:t xml:space="preserve">Over the course of 2022 and 2023, three Citizens’ Panels were organised </w:t>
      </w:r>
      <w:r w:rsidR="0072672D">
        <w:rPr>
          <w:rFonts w:ascii="Times New Roman" w:eastAsiaTheme="minorEastAsia" w:hAnsi="Times New Roman"/>
          <w:noProof/>
          <w:sz w:val="24"/>
          <w:szCs w:val="24"/>
          <w:lang w:val="en-IE" w:eastAsia="zh-CN"/>
        </w:rPr>
        <w:t xml:space="preserve">to </w:t>
      </w:r>
      <w:r w:rsidR="0072672D" w:rsidRPr="00E53223">
        <w:rPr>
          <w:rFonts w:ascii="Times New Roman" w:eastAsiaTheme="minorEastAsia" w:hAnsi="Times New Roman"/>
          <w:noProof/>
          <w:sz w:val="24"/>
          <w:szCs w:val="24"/>
          <w:lang w:val="en-IE" w:eastAsia="zh-CN"/>
        </w:rPr>
        <w:t xml:space="preserve">harness </w:t>
      </w:r>
      <w:r w:rsidR="0072672D">
        <w:rPr>
          <w:rFonts w:ascii="Times New Roman" w:eastAsiaTheme="minorEastAsia" w:hAnsi="Times New Roman"/>
          <w:noProof/>
          <w:sz w:val="24"/>
          <w:szCs w:val="24"/>
          <w:lang w:val="en-IE" w:eastAsia="zh-CN"/>
        </w:rPr>
        <w:t xml:space="preserve">citizens’ </w:t>
      </w:r>
      <w:r w:rsidR="0072672D" w:rsidRPr="00E53223">
        <w:rPr>
          <w:rFonts w:ascii="Times New Roman" w:eastAsiaTheme="minorEastAsia" w:hAnsi="Times New Roman"/>
          <w:noProof/>
          <w:sz w:val="24"/>
          <w:szCs w:val="24"/>
          <w:lang w:val="en-IE" w:eastAsia="zh-CN"/>
        </w:rPr>
        <w:t>insights on how to step up action to reduce food waste</w:t>
      </w:r>
      <w:r w:rsidR="0072672D">
        <w:rPr>
          <w:rFonts w:ascii="Times New Roman" w:eastAsiaTheme="minorEastAsia" w:hAnsi="Times New Roman"/>
          <w:noProof/>
          <w:sz w:val="24"/>
          <w:szCs w:val="24"/>
          <w:lang w:val="en-IE" w:eastAsia="zh-CN"/>
        </w:rPr>
        <w:t xml:space="preserve"> which informed the proposal to revise the </w:t>
      </w:r>
      <w:r w:rsidR="00024AD2" w:rsidRPr="00BD00A9">
        <w:rPr>
          <w:rFonts w:ascii="Times New Roman" w:eastAsiaTheme="minorEastAsia" w:hAnsi="Times New Roman"/>
          <w:noProof/>
          <w:sz w:val="24"/>
          <w:szCs w:val="24"/>
          <w:lang w:val="en-IE" w:eastAsia="zh-CN"/>
        </w:rPr>
        <w:t>W</w:t>
      </w:r>
      <w:r w:rsidRPr="00BD00A9">
        <w:rPr>
          <w:rFonts w:ascii="Times New Roman" w:eastAsiaTheme="minorEastAsia" w:hAnsi="Times New Roman"/>
          <w:noProof/>
          <w:sz w:val="24"/>
          <w:szCs w:val="24"/>
          <w:lang w:val="en-IE" w:eastAsia="zh-CN"/>
        </w:rPr>
        <w:t xml:space="preserve">aste </w:t>
      </w:r>
      <w:r w:rsidR="0072672D">
        <w:rPr>
          <w:rFonts w:ascii="Times New Roman" w:eastAsiaTheme="minorEastAsia" w:hAnsi="Times New Roman"/>
          <w:noProof/>
          <w:sz w:val="24"/>
          <w:szCs w:val="24"/>
          <w:lang w:val="en-IE" w:eastAsia="zh-CN"/>
        </w:rPr>
        <w:t xml:space="preserve">Framework </w:t>
      </w:r>
      <w:r w:rsidRPr="00BD00A9">
        <w:rPr>
          <w:rFonts w:ascii="Times New Roman" w:eastAsiaTheme="minorEastAsia" w:hAnsi="Times New Roman"/>
          <w:noProof/>
          <w:sz w:val="24"/>
          <w:szCs w:val="24"/>
          <w:lang w:val="en-IE" w:eastAsia="zh-CN"/>
        </w:rPr>
        <w:t>Directive</w:t>
      </w:r>
      <w:r w:rsidR="0072672D">
        <w:rPr>
          <w:rFonts w:ascii="Times New Roman" w:eastAsiaTheme="minorEastAsia" w:hAnsi="Times New Roman"/>
          <w:noProof/>
          <w:sz w:val="24"/>
          <w:szCs w:val="24"/>
          <w:lang w:val="en-IE" w:eastAsia="zh-CN"/>
        </w:rPr>
        <w:t xml:space="preserve"> by introducing legally binding food waste reduction targets</w:t>
      </w:r>
      <w:r w:rsidRPr="00BD00A9">
        <w:rPr>
          <w:rFonts w:ascii="Times New Roman" w:eastAsiaTheme="minorEastAsia" w:hAnsi="Times New Roman"/>
          <w:noProof/>
          <w:sz w:val="24"/>
          <w:szCs w:val="24"/>
          <w:lang w:val="en-IE" w:eastAsia="zh-CN"/>
        </w:rPr>
        <w:t xml:space="preserve">, the </w:t>
      </w:r>
      <w:r w:rsidR="00024AD2" w:rsidRPr="00BD00A9">
        <w:rPr>
          <w:rFonts w:ascii="Times New Roman" w:eastAsiaTheme="minorEastAsia" w:hAnsi="Times New Roman"/>
          <w:noProof/>
          <w:sz w:val="24"/>
          <w:szCs w:val="24"/>
          <w:lang w:val="en-IE" w:eastAsia="zh-CN"/>
        </w:rPr>
        <w:t>C</w:t>
      </w:r>
      <w:r w:rsidRPr="00BD00A9">
        <w:rPr>
          <w:rFonts w:ascii="Times New Roman" w:eastAsiaTheme="minorEastAsia" w:hAnsi="Times New Roman"/>
          <w:noProof/>
          <w:sz w:val="24"/>
          <w:szCs w:val="24"/>
          <w:lang w:val="en-IE" w:eastAsia="zh-CN"/>
        </w:rPr>
        <w:t>ommunication on virtual worlds and the Council recommendation on learning mobility. The</w:t>
      </w:r>
      <w:r w:rsidR="00817889" w:rsidRPr="00BD00A9">
        <w:rPr>
          <w:rFonts w:ascii="Times New Roman" w:eastAsiaTheme="minorEastAsia" w:hAnsi="Times New Roman"/>
          <w:noProof/>
          <w:sz w:val="24"/>
          <w:szCs w:val="24"/>
          <w:lang w:val="en-IE" w:eastAsia="zh-CN"/>
        </w:rPr>
        <w:t xml:space="preserve"> Panels</w:t>
      </w:r>
      <w:r w:rsidRPr="00BD00A9">
        <w:rPr>
          <w:rFonts w:ascii="Times New Roman" w:eastAsiaTheme="minorEastAsia" w:hAnsi="Times New Roman"/>
          <w:noProof/>
          <w:sz w:val="24"/>
          <w:szCs w:val="24"/>
          <w:lang w:val="en-IE" w:eastAsia="zh-CN"/>
        </w:rPr>
        <w:t xml:space="preserve"> completed their deliberations in April 2023. </w:t>
      </w:r>
    </w:p>
    <w:p w14:paraId="7A4BD322" w14:textId="0B99816F" w:rsidR="00BA29EE" w:rsidRPr="00BD00A9" w:rsidRDefault="05FA1DA4" w:rsidP="4FAC546D">
      <w:pPr>
        <w:spacing w:after="240" w:line="276" w:lineRule="auto"/>
        <w:jc w:val="both"/>
        <w:rPr>
          <w:rFonts w:ascii="Times New Roman" w:eastAsiaTheme="minorEastAsia" w:hAnsi="Times New Roman"/>
          <w:noProof/>
          <w:sz w:val="24"/>
          <w:szCs w:val="24"/>
          <w:lang w:val="en-IE" w:eastAsia="zh-CN"/>
        </w:rPr>
      </w:pPr>
      <w:r w:rsidRPr="00BD00A9">
        <w:rPr>
          <w:rFonts w:ascii="Times New Roman" w:eastAsiaTheme="minorEastAsia" w:hAnsi="Times New Roman"/>
          <w:noProof/>
          <w:sz w:val="24"/>
          <w:szCs w:val="24"/>
          <w:lang w:val="en-IE" w:eastAsia="zh-CN"/>
        </w:rPr>
        <w:t xml:space="preserve">Following up on the Conference, the Commission is also developing a revamped </w:t>
      </w:r>
      <w:r w:rsidR="00024AD2" w:rsidRPr="00BD00A9">
        <w:rPr>
          <w:rFonts w:ascii="Times New Roman" w:eastAsiaTheme="minorEastAsia" w:hAnsi="Times New Roman"/>
          <w:noProof/>
          <w:sz w:val="24"/>
          <w:szCs w:val="24"/>
          <w:lang w:val="en-IE" w:eastAsia="zh-CN"/>
        </w:rPr>
        <w:t>‘</w:t>
      </w:r>
      <w:r w:rsidRPr="00BD00A9">
        <w:rPr>
          <w:rFonts w:ascii="Times New Roman" w:eastAsiaTheme="minorEastAsia" w:hAnsi="Times New Roman"/>
          <w:b/>
          <w:bCs/>
          <w:noProof/>
          <w:sz w:val="24"/>
          <w:szCs w:val="24"/>
          <w:lang w:val="en-IE" w:eastAsia="zh-CN"/>
        </w:rPr>
        <w:t>Have Your Say</w:t>
      </w:r>
      <w:r w:rsidR="00024AD2" w:rsidRPr="00BD00A9">
        <w:rPr>
          <w:rFonts w:ascii="Times New Roman" w:eastAsiaTheme="minorEastAsia" w:hAnsi="Times New Roman"/>
          <w:b/>
          <w:bCs/>
          <w:noProof/>
          <w:sz w:val="24"/>
          <w:szCs w:val="24"/>
          <w:lang w:val="en-IE" w:eastAsia="zh-CN"/>
        </w:rPr>
        <w:t>’</w:t>
      </w:r>
      <w:r w:rsidRPr="00BD00A9">
        <w:rPr>
          <w:rFonts w:ascii="Times New Roman" w:eastAsiaTheme="minorEastAsia" w:hAnsi="Times New Roman"/>
          <w:noProof/>
          <w:sz w:val="24"/>
          <w:szCs w:val="24"/>
          <w:lang w:val="en-IE" w:eastAsia="zh-CN"/>
        </w:rPr>
        <w:t xml:space="preserve"> portal as </w:t>
      </w:r>
      <w:r w:rsidR="00024AD2" w:rsidRPr="00BD00A9">
        <w:rPr>
          <w:rFonts w:ascii="Times New Roman" w:eastAsiaTheme="minorEastAsia" w:hAnsi="Times New Roman"/>
          <w:noProof/>
          <w:sz w:val="24"/>
          <w:szCs w:val="24"/>
          <w:lang w:val="en-IE" w:eastAsia="zh-CN"/>
        </w:rPr>
        <w:t xml:space="preserve">a </w:t>
      </w:r>
      <w:r w:rsidR="00923AE5" w:rsidRPr="00BD00A9">
        <w:rPr>
          <w:rFonts w:ascii="Times New Roman" w:eastAsiaTheme="minorEastAsia" w:hAnsi="Times New Roman"/>
          <w:noProof/>
          <w:sz w:val="24"/>
          <w:szCs w:val="24"/>
          <w:lang w:val="en-IE" w:eastAsia="zh-CN"/>
        </w:rPr>
        <w:t>one</w:t>
      </w:r>
      <w:r w:rsidRPr="00BD00A9">
        <w:rPr>
          <w:rFonts w:ascii="Times New Roman" w:eastAsiaTheme="minorEastAsia" w:hAnsi="Times New Roman"/>
          <w:noProof/>
          <w:sz w:val="24"/>
          <w:szCs w:val="24"/>
          <w:lang w:val="en-IE" w:eastAsia="zh-CN"/>
        </w:rPr>
        <w:t xml:space="preserve">-stop-shop for online citizens’ engagement. The new portal is the gateway </w:t>
      </w:r>
      <w:r w:rsidR="00024AD2" w:rsidRPr="00BD00A9">
        <w:rPr>
          <w:rFonts w:ascii="Times New Roman" w:eastAsiaTheme="minorEastAsia" w:hAnsi="Times New Roman"/>
          <w:noProof/>
          <w:sz w:val="24"/>
          <w:szCs w:val="24"/>
          <w:lang w:val="en-IE" w:eastAsia="zh-CN"/>
        </w:rPr>
        <w:t>to</w:t>
      </w:r>
      <w:r w:rsidRPr="00BD00A9">
        <w:rPr>
          <w:rFonts w:ascii="Times New Roman" w:eastAsiaTheme="minorEastAsia" w:hAnsi="Times New Roman"/>
          <w:noProof/>
          <w:sz w:val="24"/>
          <w:szCs w:val="24"/>
          <w:lang w:val="en-IE" w:eastAsia="zh-CN"/>
        </w:rPr>
        <w:t xml:space="preserve"> the Commission’s public online consultations, the European </w:t>
      </w:r>
      <w:r w:rsidR="00D45D15" w:rsidRPr="00BD00A9">
        <w:rPr>
          <w:rFonts w:ascii="Times New Roman" w:eastAsiaTheme="minorEastAsia" w:hAnsi="Times New Roman"/>
          <w:noProof/>
          <w:sz w:val="24"/>
          <w:szCs w:val="24"/>
          <w:lang w:val="en-IE" w:eastAsia="zh-CN"/>
        </w:rPr>
        <w:t>c</w:t>
      </w:r>
      <w:r w:rsidRPr="00BD00A9">
        <w:rPr>
          <w:rFonts w:ascii="Times New Roman" w:eastAsiaTheme="minorEastAsia" w:hAnsi="Times New Roman"/>
          <w:noProof/>
          <w:sz w:val="24"/>
          <w:szCs w:val="24"/>
          <w:lang w:val="en-IE" w:eastAsia="zh-CN"/>
        </w:rPr>
        <w:t xml:space="preserve">itizens’ </w:t>
      </w:r>
      <w:r w:rsidR="00D45D15" w:rsidRPr="00BD00A9">
        <w:rPr>
          <w:rFonts w:ascii="Times New Roman" w:eastAsiaTheme="minorEastAsia" w:hAnsi="Times New Roman"/>
          <w:noProof/>
          <w:sz w:val="24"/>
          <w:szCs w:val="24"/>
          <w:lang w:val="en-IE" w:eastAsia="zh-CN"/>
        </w:rPr>
        <w:t>i</w:t>
      </w:r>
      <w:r w:rsidRPr="00BD00A9">
        <w:rPr>
          <w:rFonts w:ascii="Times New Roman" w:eastAsiaTheme="minorEastAsia" w:hAnsi="Times New Roman"/>
          <w:noProof/>
          <w:sz w:val="24"/>
          <w:szCs w:val="24"/>
          <w:lang w:val="en-IE" w:eastAsia="zh-CN"/>
        </w:rPr>
        <w:t xml:space="preserve">nitiatives and to a new interactive </w:t>
      </w:r>
      <w:r w:rsidR="00024AD2" w:rsidRPr="00BD00A9">
        <w:rPr>
          <w:rFonts w:ascii="Times New Roman" w:eastAsiaTheme="minorEastAsia" w:hAnsi="Times New Roman"/>
          <w:noProof/>
          <w:sz w:val="24"/>
          <w:szCs w:val="24"/>
          <w:lang w:val="en-IE" w:eastAsia="zh-CN"/>
        </w:rPr>
        <w:t>p</w:t>
      </w:r>
      <w:r w:rsidRPr="00BD00A9">
        <w:rPr>
          <w:rFonts w:ascii="Times New Roman" w:eastAsiaTheme="minorEastAsia" w:hAnsi="Times New Roman"/>
          <w:noProof/>
          <w:sz w:val="24"/>
          <w:szCs w:val="24"/>
          <w:lang w:val="en-IE" w:eastAsia="zh-CN"/>
        </w:rPr>
        <w:t>latform, where citizens can</w:t>
      </w:r>
      <w:r w:rsidR="00DD383D">
        <w:rPr>
          <w:rFonts w:ascii="Times New Roman" w:eastAsiaTheme="minorEastAsia" w:hAnsi="Times New Roman"/>
          <w:noProof/>
          <w:sz w:val="24"/>
          <w:szCs w:val="24"/>
          <w:lang w:val="en-IE" w:eastAsia="zh-CN"/>
        </w:rPr>
        <w:t xml:space="preserve"> share their views and ideas </w:t>
      </w:r>
      <w:r w:rsidR="00C34253">
        <w:rPr>
          <w:rFonts w:ascii="Times New Roman" w:eastAsiaTheme="minorEastAsia" w:hAnsi="Times New Roman"/>
          <w:noProof/>
          <w:sz w:val="24"/>
          <w:szCs w:val="24"/>
          <w:lang w:val="en-IE" w:eastAsia="zh-CN"/>
        </w:rPr>
        <w:t xml:space="preserve">about </w:t>
      </w:r>
      <w:r w:rsidRPr="00BD00A9">
        <w:rPr>
          <w:rFonts w:ascii="Times New Roman" w:eastAsiaTheme="minorEastAsia" w:hAnsi="Times New Roman"/>
          <w:noProof/>
          <w:sz w:val="24"/>
          <w:szCs w:val="24"/>
          <w:lang w:val="en-IE" w:eastAsia="zh-CN"/>
        </w:rPr>
        <w:t>EU policies</w:t>
      </w:r>
      <w:r w:rsidR="00DD383D">
        <w:rPr>
          <w:rFonts w:ascii="Times New Roman" w:eastAsiaTheme="minorEastAsia" w:hAnsi="Times New Roman"/>
          <w:noProof/>
          <w:sz w:val="24"/>
          <w:szCs w:val="24"/>
          <w:lang w:val="en-IE" w:eastAsia="zh-CN"/>
        </w:rPr>
        <w:t xml:space="preserve"> and EU laws</w:t>
      </w:r>
      <w:r w:rsidRPr="00BD00A9">
        <w:rPr>
          <w:rFonts w:ascii="Times New Roman" w:eastAsiaTheme="minorEastAsia" w:hAnsi="Times New Roman"/>
          <w:noProof/>
          <w:sz w:val="24"/>
          <w:szCs w:val="24"/>
          <w:lang w:val="en-IE" w:eastAsia="zh-CN"/>
        </w:rPr>
        <w:t xml:space="preserve">. </w:t>
      </w:r>
    </w:p>
    <w:p w14:paraId="4FDB8AA5" w14:textId="254953FE" w:rsidR="00090C3F" w:rsidRPr="00BD00A9" w:rsidRDefault="3CD91F44" w:rsidP="4FAC546D">
      <w:pPr>
        <w:spacing w:after="240" w:line="276" w:lineRule="auto"/>
        <w:jc w:val="both"/>
        <w:rPr>
          <w:rFonts w:ascii="Times New Roman" w:eastAsiaTheme="minorEastAsia" w:hAnsi="Times New Roman"/>
          <w:noProof/>
          <w:sz w:val="24"/>
          <w:szCs w:val="24"/>
          <w:lang w:eastAsia="zh-CN"/>
        </w:rPr>
      </w:pPr>
      <w:r w:rsidRPr="00BD00A9">
        <w:rPr>
          <w:rFonts w:ascii="Times New Roman" w:eastAsiaTheme="minorEastAsia" w:hAnsi="Times New Roman"/>
          <w:noProof/>
          <w:sz w:val="24"/>
          <w:szCs w:val="24"/>
          <w:lang w:eastAsia="zh-CN"/>
        </w:rPr>
        <w:t>The</w:t>
      </w:r>
      <w:r w:rsidRPr="00BD00A9">
        <w:rPr>
          <w:rFonts w:ascii="Times New Roman" w:eastAsiaTheme="minorEastAsia" w:hAnsi="Times New Roman"/>
          <w:b/>
          <w:bCs/>
          <w:noProof/>
          <w:sz w:val="24"/>
          <w:szCs w:val="24"/>
          <w:lang w:eastAsia="zh-CN"/>
        </w:rPr>
        <w:t xml:space="preserve"> EU Youth Dialogue</w:t>
      </w:r>
      <w:r w:rsidR="00D4044E" w:rsidRPr="00BD00A9">
        <w:rPr>
          <w:rFonts w:ascii="Times New Roman" w:eastAsiaTheme="minorEastAsia" w:hAnsi="Times New Roman"/>
          <w:noProof/>
          <w:sz w:val="24"/>
          <w:szCs w:val="24"/>
          <w:lang w:eastAsia="zh-CN"/>
        </w:rPr>
        <w:t xml:space="preserve"> (EUYD)</w:t>
      </w:r>
      <w:r w:rsidRPr="00BD00A9">
        <w:rPr>
          <w:rFonts w:ascii="Times New Roman" w:eastAsiaTheme="minorEastAsia" w:hAnsi="Times New Roman"/>
          <w:noProof/>
          <w:sz w:val="24"/>
          <w:szCs w:val="24"/>
          <w:lang w:eastAsia="zh-CN"/>
        </w:rPr>
        <w:t>,</w:t>
      </w:r>
      <w:r w:rsidRPr="00BD00A9">
        <w:rPr>
          <w:rFonts w:ascii="Times New Roman" w:eastAsiaTheme="minorEastAsia" w:hAnsi="Times New Roman"/>
          <w:b/>
          <w:bCs/>
          <w:noProof/>
          <w:sz w:val="24"/>
          <w:szCs w:val="24"/>
          <w:lang w:eastAsia="zh-CN"/>
        </w:rPr>
        <w:t xml:space="preserve"> </w:t>
      </w:r>
      <w:r w:rsidRPr="00BD00A9">
        <w:rPr>
          <w:rFonts w:ascii="Times New Roman" w:eastAsiaTheme="minorEastAsia" w:hAnsi="Times New Roman"/>
          <w:noProof/>
          <w:sz w:val="24"/>
          <w:szCs w:val="24"/>
          <w:lang w:eastAsia="zh-CN"/>
        </w:rPr>
        <w:t xml:space="preserve">supported by the Erasmus+ programme, has been instrumental in fostering young people’s participation in decision-making processes and in </w:t>
      </w:r>
      <w:r w:rsidR="00023E5B" w:rsidRPr="00BD00A9">
        <w:rPr>
          <w:rFonts w:ascii="Times New Roman" w:eastAsiaTheme="minorEastAsia" w:hAnsi="Times New Roman"/>
          <w:noProof/>
          <w:sz w:val="24"/>
          <w:szCs w:val="24"/>
          <w:lang w:eastAsia="zh-CN"/>
        </w:rPr>
        <w:t xml:space="preserve">developing </w:t>
      </w:r>
      <w:r w:rsidRPr="00BD00A9">
        <w:rPr>
          <w:rFonts w:ascii="Times New Roman" w:eastAsiaTheme="minorEastAsia" w:hAnsi="Times New Roman"/>
          <w:noProof/>
          <w:sz w:val="24"/>
          <w:szCs w:val="24"/>
          <w:lang w:eastAsia="zh-CN"/>
        </w:rPr>
        <w:t xml:space="preserve">public policies through consultations and exchanges. </w:t>
      </w:r>
      <w:r w:rsidR="00DC4A53" w:rsidRPr="00BD00A9">
        <w:rPr>
          <w:rFonts w:ascii="Times New Roman" w:eastAsiaTheme="minorEastAsia" w:hAnsi="Times New Roman"/>
          <w:noProof/>
          <w:sz w:val="24"/>
          <w:szCs w:val="24"/>
          <w:lang w:eastAsia="zh-CN"/>
        </w:rPr>
        <w:t xml:space="preserve">It is a flagship instrument of the EU Youth Strategy, </w:t>
      </w:r>
      <w:r w:rsidR="00023E5B" w:rsidRPr="00BD00A9">
        <w:rPr>
          <w:rFonts w:ascii="Times New Roman" w:eastAsiaTheme="minorEastAsia" w:hAnsi="Times New Roman"/>
          <w:noProof/>
          <w:sz w:val="24"/>
          <w:szCs w:val="24"/>
          <w:lang w:eastAsia="zh-CN"/>
        </w:rPr>
        <w:t xml:space="preserve">which </w:t>
      </w:r>
      <w:r w:rsidR="00DC4A53" w:rsidRPr="00BD00A9">
        <w:rPr>
          <w:rFonts w:ascii="Times New Roman" w:eastAsiaTheme="minorEastAsia" w:hAnsi="Times New Roman"/>
          <w:noProof/>
          <w:sz w:val="24"/>
          <w:szCs w:val="24"/>
          <w:lang w:eastAsia="zh-CN"/>
        </w:rPr>
        <w:t xml:space="preserve">also </w:t>
      </w:r>
      <w:r w:rsidR="00023E5B" w:rsidRPr="00BD00A9">
        <w:rPr>
          <w:rFonts w:ascii="Times New Roman" w:eastAsiaTheme="minorEastAsia" w:hAnsi="Times New Roman"/>
          <w:noProof/>
          <w:sz w:val="24"/>
          <w:szCs w:val="24"/>
          <w:lang w:eastAsia="zh-CN"/>
        </w:rPr>
        <w:t>came</w:t>
      </w:r>
      <w:r w:rsidR="00DC4A53" w:rsidRPr="00BD00A9">
        <w:rPr>
          <w:rFonts w:ascii="Times New Roman" w:eastAsiaTheme="minorEastAsia" w:hAnsi="Times New Roman"/>
          <w:noProof/>
          <w:sz w:val="24"/>
          <w:szCs w:val="24"/>
          <w:lang w:eastAsia="zh-CN"/>
        </w:rPr>
        <w:t xml:space="preserve"> to the forefront in the 2022 European Year of Youth. The Council Resolution (15 May 2023) on the Outcomes of the 9th Cycle of the EU</w:t>
      </w:r>
      <w:r w:rsidR="00023E5B" w:rsidRPr="00BD00A9">
        <w:rPr>
          <w:rFonts w:ascii="Times New Roman" w:eastAsiaTheme="minorEastAsia" w:hAnsi="Times New Roman"/>
          <w:noProof/>
          <w:sz w:val="24"/>
          <w:szCs w:val="24"/>
          <w:lang w:eastAsia="zh-CN"/>
        </w:rPr>
        <w:t>YD</w:t>
      </w:r>
      <w:r w:rsidR="00DC4A53" w:rsidRPr="00BD00A9">
        <w:rPr>
          <w:rFonts w:ascii="Times New Roman" w:eastAsiaTheme="minorEastAsia" w:hAnsi="Times New Roman"/>
          <w:noProof/>
          <w:sz w:val="24"/>
          <w:szCs w:val="24"/>
          <w:lang w:eastAsia="zh-CN"/>
        </w:rPr>
        <w:t>, under the title ‘Engaging Together for a Sustainable and Inclusive Europe’, manifest</w:t>
      </w:r>
      <w:r w:rsidR="00090C3F" w:rsidRPr="00BD00A9">
        <w:rPr>
          <w:rFonts w:ascii="Times New Roman" w:eastAsiaTheme="minorEastAsia" w:hAnsi="Times New Roman"/>
          <w:noProof/>
          <w:sz w:val="24"/>
          <w:szCs w:val="24"/>
          <w:lang w:eastAsia="zh-CN"/>
        </w:rPr>
        <w:t>s</w:t>
      </w:r>
      <w:r w:rsidR="00DC4A53" w:rsidRPr="00BD00A9">
        <w:rPr>
          <w:rFonts w:ascii="Times New Roman" w:eastAsiaTheme="minorEastAsia" w:hAnsi="Times New Roman"/>
          <w:noProof/>
          <w:sz w:val="24"/>
          <w:szCs w:val="24"/>
          <w:lang w:eastAsia="zh-CN"/>
        </w:rPr>
        <w:t xml:space="preserve"> the commitment to ensur</w:t>
      </w:r>
      <w:r w:rsidR="00023E5B" w:rsidRPr="00BD00A9">
        <w:rPr>
          <w:rFonts w:ascii="Times New Roman" w:eastAsiaTheme="minorEastAsia" w:hAnsi="Times New Roman"/>
          <w:noProof/>
          <w:sz w:val="24"/>
          <w:szCs w:val="24"/>
          <w:lang w:eastAsia="zh-CN"/>
        </w:rPr>
        <w:t>ing</w:t>
      </w:r>
      <w:r w:rsidR="00DC4A53" w:rsidRPr="00BD00A9">
        <w:rPr>
          <w:rFonts w:ascii="Times New Roman" w:eastAsiaTheme="minorEastAsia" w:hAnsi="Times New Roman"/>
          <w:noProof/>
          <w:sz w:val="24"/>
          <w:szCs w:val="24"/>
          <w:lang w:eastAsia="zh-CN"/>
        </w:rPr>
        <w:t xml:space="preserve"> quality and continuity in the dialogue and </w:t>
      </w:r>
      <w:r w:rsidR="00023E5B" w:rsidRPr="00BD00A9">
        <w:rPr>
          <w:rFonts w:ascii="Times New Roman" w:eastAsiaTheme="minorEastAsia" w:hAnsi="Times New Roman"/>
          <w:noProof/>
          <w:sz w:val="24"/>
          <w:szCs w:val="24"/>
          <w:lang w:eastAsia="zh-CN"/>
        </w:rPr>
        <w:t xml:space="preserve">to </w:t>
      </w:r>
      <w:r w:rsidR="00DC4A53" w:rsidRPr="00BD00A9">
        <w:rPr>
          <w:rFonts w:ascii="Times New Roman" w:eastAsiaTheme="minorEastAsia" w:hAnsi="Times New Roman"/>
          <w:noProof/>
          <w:sz w:val="24"/>
          <w:szCs w:val="24"/>
          <w:lang w:eastAsia="zh-CN"/>
        </w:rPr>
        <w:t xml:space="preserve">feeding its outcomes into policymaking at all levels. The 10th cycle of the </w:t>
      </w:r>
      <w:r w:rsidR="00D4044E" w:rsidRPr="00BD00A9">
        <w:rPr>
          <w:rFonts w:ascii="Times New Roman" w:eastAsiaTheme="minorEastAsia" w:hAnsi="Times New Roman"/>
          <w:noProof/>
          <w:sz w:val="24"/>
          <w:szCs w:val="24"/>
          <w:lang w:eastAsia="zh-CN"/>
        </w:rPr>
        <w:t>EU</w:t>
      </w:r>
      <w:r w:rsidR="00023E5B" w:rsidRPr="00BD00A9">
        <w:rPr>
          <w:rFonts w:ascii="Times New Roman" w:eastAsiaTheme="minorEastAsia" w:hAnsi="Times New Roman"/>
          <w:noProof/>
          <w:sz w:val="24"/>
          <w:szCs w:val="24"/>
          <w:lang w:eastAsia="zh-CN"/>
        </w:rPr>
        <w:t>YD</w:t>
      </w:r>
      <w:r w:rsidR="00D4044E" w:rsidRPr="00BD00A9">
        <w:rPr>
          <w:rFonts w:ascii="Times New Roman" w:eastAsiaTheme="minorEastAsia" w:hAnsi="Times New Roman"/>
          <w:noProof/>
          <w:sz w:val="24"/>
          <w:szCs w:val="24"/>
          <w:lang w:eastAsia="zh-CN"/>
        </w:rPr>
        <w:t xml:space="preserve"> </w:t>
      </w:r>
      <w:r w:rsidR="00DC4A53" w:rsidRPr="00BD00A9">
        <w:rPr>
          <w:rFonts w:ascii="Times New Roman" w:eastAsiaTheme="minorEastAsia" w:hAnsi="Times New Roman"/>
          <w:noProof/>
          <w:sz w:val="24"/>
          <w:szCs w:val="24"/>
          <w:lang w:eastAsia="zh-CN"/>
        </w:rPr>
        <w:t xml:space="preserve">will run under the </w:t>
      </w:r>
      <w:r w:rsidR="00023E5B" w:rsidRPr="00BD00A9">
        <w:rPr>
          <w:rFonts w:ascii="Times New Roman" w:eastAsiaTheme="minorEastAsia" w:hAnsi="Times New Roman"/>
          <w:noProof/>
          <w:sz w:val="24"/>
          <w:szCs w:val="24"/>
          <w:lang w:eastAsia="zh-CN"/>
        </w:rPr>
        <w:t xml:space="preserve">Spain-Belgium-Hungary Presidency Trio </w:t>
      </w:r>
      <w:r w:rsidR="00DC4A53" w:rsidRPr="00BD00A9">
        <w:rPr>
          <w:rFonts w:ascii="Times New Roman" w:eastAsiaTheme="minorEastAsia" w:hAnsi="Times New Roman"/>
          <w:noProof/>
          <w:sz w:val="24"/>
          <w:szCs w:val="24"/>
          <w:lang w:eastAsia="zh-CN"/>
        </w:rPr>
        <w:t xml:space="preserve">from July 2023 to June 2024 and </w:t>
      </w:r>
      <w:r w:rsidR="00023E5B" w:rsidRPr="00BD00A9">
        <w:rPr>
          <w:rFonts w:ascii="Times New Roman" w:eastAsiaTheme="minorEastAsia" w:hAnsi="Times New Roman"/>
          <w:noProof/>
          <w:sz w:val="24"/>
          <w:szCs w:val="24"/>
          <w:lang w:eastAsia="zh-CN"/>
        </w:rPr>
        <w:t xml:space="preserve">will </w:t>
      </w:r>
      <w:r w:rsidR="00DC4A53" w:rsidRPr="00BD00A9">
        <w:rPr>
          <w:rFonts w:ascii="Times New Roman" w:eastAsiaTheme="minorEastAsia" w:hAnsi="Times New Roman"/>
          <w:noProof/>
          <w:sz w:val="24"/>
          <w:szCs w:val="24"/>
          <w:lang w:eastAsia="zh-CN"/>
        </w:rPr>
        <w:t xml:space="preserve">focus on European Youth Goal #3 ‘Inclusive Societies’. </w:t>
      </w:r>
      <w:r w:rsidR="00171294">
        <w:rPr>
          <w:rFonts w:ascii="Times New Roman" w:eastAsiaTheme="minorEastAsia" w:hAnsi="Times New Roman"/>
          <w:noProof/>
          <w:sz w:val="24"/>
          <w:szCs w:val="24"/>
          <w:lang w:eastAsia="zh-CN"/>
        </w:rPr>
        <w:t xml:space="preserve">A </w:t>
      </w:r>
      <w:r w:rsidR="00DC4A53" w:rsidRPr="00BD00A9">
        <w:rPr>
          <w:rFonts w:ascii="Times New Roman" w:eastAsiaTheme="minorEastAsia" w:hAnsi="Times New Roman"/>
          <w:noProof/>
          <w:sz w:val="24"/>
          <w:szCs w:val="24"/>
          <w:lang w:eastAsia="zh-CN"/>
        </w:rPr>
        <w:t>Communication on the European Year of Youth legacy</w:t>
      </w:r>
      <w:r w:rsidR="00171294">
        <w:rPr>
          <w:rFonts w:ascii="Times New Roman" w:eastAsiaTheme="minorEastAsia" w:hAnsi="Times New Roman"/>
          <w:noProof/>
          <w:sz w:val="24"/>
          <w:szCs w:val="24"/>
          <w:lang w:eastAsia="zh-CN"/>
        </w:rPr>
        <w:t xml:space="preserve"> is</w:t>
      </w:r>
      <w:r w:rsidR="00DC4A53" w:rsidRPr="00BD00A9">
        <w:rPr>
          <w:rFonts w:ascii="Times New Roman" w:eastAsiaTheme="minorEastAsia" w:hAnsi="Times New Roman"/>
          <w:noProof/>
          <w:sz w:val="24"/>
          <w:szCs w:val="24"/>
          <w:lang w:eastAsia="zh-CN"/>
        </w:rPr>
        <w:t xml:space="preserve"> planned for </w:t>
      </w:r>
      <w:r w:rsidR="00023E5B" w:rsidRPr="00BD00A9">
        <w:rPr>
          <w:rFonts w:ascii="Times New Roman" w:eastAsiaTheme="minorEastAsia" w:hAnsi="Times New Roman"/>
          <w:noProof/>
          <w:sz w:val="24"/>
          <w:szCs w:val="24"/>
          <w:lang w:eastAsia="zh-CN"/>
        </w:rPr>
        <w:t xml:space="preserve">the </w:t>
      </w:r>
      <w:r w:rsidR="00DC4A53" w:rsidRPr="00BD00A9">
        <w:rPr>
          <w:rFonts w:ascii="Times New Roman" w:eastAsiaTheme="minorEastAsia" w:hAnsi="Times New Roman"/>
          <w:noProof/>
          <w:sz w:val="24"/>
          <w:szCs w:val="24"/>
          <w:lang w:eastAsia="zh-CN"/>
        </w:rPr>
        <w:t xml:space="preserve">end </w:t>
      </w:r>
      <w:r w:rsidR="00023E5B" w:rsidRPr="00BD00A9">
        <w:rPr>
          <w:rFonts w:ascii="Times New Roman" w:eastAsiaTheme="minorEastAsia" w:hAnsi="Times New Roman"/>
          <w:noProof/>
          <w:sz w:val="24"/>
          <w:szCs w:val="24"/>
          <w:lang w:eastAsia="zh-CN"/>
        </w:rPr>
        <w:t xml:space="preserve">of </w:t>
      </w:r>
      <w:r w:rsidR="00DC4A53" w:rsidRPr="00BD00A9">
        <w:rPr>
          <w:rFonts w:ascii="Times New Roman" w:eastAsiaTheme="minorEastAsia" w:hAnsi="Times New Roman"/>
          <w:noProof/>
          <w:sz w:val="24"/>
          <w:szCs w:val="24"/>
          <w:lang w:eastAsia="zh-CN"/>
        </w:rPr>
        <w:t xml:space="preserve">2023. </w:t>
      </w:r>
    </w:p>
    <w:p w14:paraId="1CF5BCC6" w14:textId="6D202B6C" w:rsidR="000C43D5" w:rsidRPr="00BD00A9" w:rsidRDefault="3CD91F44" w:rsidP="4FAC546D">
      <w:pPr>
        <w:spacing w:after="240" w:line="276" w:lineRule="auto"/>
        <w:jc w:val="both"/>
        <w:rPr>
          <w:rFonts w:ascii="Times New Roman" w:eastAsiaTheme="minorEastAsia" w:hAnsi="Times New Roman"/>
          <w:noProof/>
          <w:sz w:val="24"/>
          <w:szCs w:val="24"/>
          <w:lang w:eastAsia="zh-CN"/>
        </w:rPr>
      </w:pPr>
      <w:r w:rsidRPr="00BD00A9">
        <w:rPr>
          <w:rFonts w:ascii="Times New Roman" w:eastAsiaTheme="minorEastAsia" w:hAnsi="Times New Roman"/>
          <w:noProof/>
          <w:sz w:val="24"/>
          <w:szCs w:val="24"/>
          <w:lang w:eastAsia="zh-CN"/>
        </w:rPr>
        <w:t>The renewed Resolution on the EU Youth Strategy for 2019-2027</w:t>
      </w:r>
      <w:r w:rsidR="00B42A41" w:rsidRPr="00BD00A9">
        <w:rPr>
          <w:rStyle w:val="FootnoteReference"/>
          <w:rFonts w:ascii="Times New Roman" w:eastAsiaTheme="minorEastAsia" w:hAnsi="Times New Roman"/>
          <w:noProof/>
          <w:sz w:val="24"/>
          <w:szCs w:val="24"/>
          <w:lang w:eastAsia="zh-CN"/>
        </w:rPr>
        <w:footnoteReference w:id="132"/>
      </w:r>
      <w:r w:rsidR="00D45D15" w:rsidRPr="00BD00A9">
        <w:rPr>
          <w:rFonts w:ascii="Times New Roman" w:eastAsiaTheme="minorEastAsia" w:hAnsi="Times New Roman"/>
          <w:noProof/>
          <w:sz w:val="24"/>
          <w:szCs w:val="24"/>
          <w:lang w:eastAsia="zh-CN"/>
        </w:rPr>
        <w:t xml:space="preserve"> </w:t>
      </w:r>
      <w:r w:rsidRPr="00BD00A9">
        <w:rPr>
          <w:rFonts w:ascii="Times New Roman" w:eastAsiaTheme="minorEastAsia" w:hAnsi="Times New Roman"/>
          <w:noProof/>
          <w:sz w:val="24"/>
          <w:szCs w:val="24"/>
          <w:lang w:eastAsia="zh-CN"/>
        </w:rPr>
        <w:t>recogni</w:t>
      </w:r>
      <w:r w:rsidR="00023E5B" w:rsidRPr="00BD00A9">
        <w:rPr>
          <w:rFonts w:ascii="Times New Roman" w:eastAsiaTheme="minorEastAsia" w:hAnsi="Times New Roman"/>
          <w:noProof/>
          <w:sz w:val="24"/>
          <w:szCs w:val="24"/>
          <w:lang w:eastAsia="zh-CN"/>
        </w:rPr>
        <w:t>s</w:t>
      </w:r>
      <w:r w:rsidRPr="00BD00A9">
        <w:rPr>
          <w:rFonts w:ascii="Times New Roman" w:eastAsiaTheme="minorEastAsia" w:hAnsi="Times New Roman"/>
          <w:noProof/>
          <w:sz w:val="24"/>
          <w:szCs w:val="24"/>
          <w:lang w:eastAsia="zh-CN"/>
        </w:rPr>
        <w:t xml:space="preserve">es the need to </w:t>
      </w:r>
      <w:r w:rsidR="00023E5B" w:rsidRPr="00BD00A9">
        <w:rPr>
          <w:rFonts w:ascii="Times New Roman" w:eastAsiaTheme="minorEastAsia" w:hAnsi="Times New Roman"/>
          <w:noProof/>
          <w:sz w:val="24"/>
          <w:szCs w:val="24"/>
          <w:lang w:eastAsia="zh-CN"/>
        </w:rPr>
        <w:t>‘</w:t>
      </w:r>
      <w:r w:rsidRPr="00BD00A9">
        <w:rPr>
          <w:rFonts w:ascii="Times New Roman" w:eastAsiaTheme="minorEastAsia" w:hAnsi="Times New Roman"/>
          <w:noProof/>
          <w:sz w:val="24"/>
          <w:szCs w:val="24"/>
          <w:lang w:eastAsia="zh-CN"/>
        </w:rPr>
        <w:t>Encourage young people to become active citizens, agents of solidarity and positive change for communities across Europe, inspired by EU values and a European identity</w:t>
      </w:r>
      <w:r w:rsidR="00023E5B" w:rsidRPr="00BD00A9">
        <w:rPr>
          <w:rFonts w:ascii="Times New Roman" w:eastAsiaTheme="minorEastAsia" w:hAnsi="Times New Roman"/>
          <w:noProof/>
          <w:sz w:val="24"/>
          <w:szCs w:val="24"/>
          <w:lang w:eastAsia="zh-CN"/>
        </w:rPr>
        <w:t>’</w:t>
      </w:r>
      <w:r w:rsidRPr="00BD00A9">
        <w:rPr>
          <w:rFonts w:ascii="Times New Roman" w:eastAsiaTheme="minorEastAsia" w:hAnsi="Times New Roman"/>
          <w:noProof/>
          <w:sz w:val="24"/>
          <w:szCs w:val="24"/>
          <w:lang w:eastAsia="zh-CN"/>
        </w:rPr>
        <w:t xml:space="preserve"> as one of </w:t>
      </w:r>
      <w:r w:rsidR="00023E5B" w:rsidRPr="00BD00A9">
        <w:rPr>
          <w:rFonts w:ascii="Times New Roman" w:eastAsiaTheme="minorEastAsia" w:hAnsi="Times New Roman"/>
          <w:noProof/>
          <w:sz w:val="24"/>
          <w:szCs w:val="24"/>
          <w:lang w:eastAsia="zh-CN"/>
        </w:rPr>
        <w:t>its</w:t>
      </w:r>
      <w:r w:rsidRPr="00BD00A9">
        <w:rPr>
          <w:rFonts w:ascii="Times New Roman" w:eastAsiaTheme="minorEastAsia" w:hAnsi="Times New Roman"/>
          <w:noProof/>
          <w:sz w:val="24"/>
          <w:szCs w:val="24"/>
          <w:lang w:eastAsia="zh-CN"/>
        </w:rPr>
        <w:t xml:space="preserve"> key objectives. In line with this goal, </w:t>
      </w:r>
      <w:r w:rsidRPr="00BD00A9">
        <w:rPr>
          <w:rFonts w:ascii="Times New Roman" w:eastAsiaTheme="minorEastAsia" w:hAnsi="Times New Roman"/>
          <w:b/>
          <w:bCs/>
          <w:noProof/>
          <w:sz w:val="24"/>
          <w:szCs w:val="24"/>
          <w:lang w:eastAsia="zh-CN"/>
        </w:rPr>
        <w:t>Erasmus+ and the European Solidarity Corps</w:t>
      </w:r>
      <w:r w:rsidRPr="00BD00A9">
        <w:rPr>
          <w:rFonts w:ascii="Times New Roman" w:eastAsiaTheme="minorEastAsia" w:hAnsi="Times New Roman"/>
          <w:noProof/>
          <w:sz w:val="24"/>
          <w:szCs w:val="24"/>
          <w:lang w:eastAsia="zh-CN"/>
        </w:rPr>
        <w:t>, the two flagship EU programmes supporting youth, continue to strengthen European identity and active citizenship among young people through relevant volunteering, educational and professional activities.</w:t>
      </w:r>
    </w:p>
    <w:p w14:paraId="6F3F23F3" w14:textId="69FE29EA" w:rsidR="00EF1236" w:rsidRPr="00BD00A9" w:rsidRDefault="00EF1236" w:rsidP="00EF1236">
      <w:pPr>
        <w:spacing w:after="240" w:line="276" w:lineRule="auto"/>
        <w:jc w:val="both"/>
        <w:rPr>
          <w:rFonts w:ascii="Times New Roman" w:eastAsiaTheme="minorEastAsia" w:hAnsi="Times New Roman"/>
          <w:noProof/>
          <w:sz w:val="24"/>
          <w:szCs w:val="24"/>
          <w:lang w:eastAsia="zh-CN"/>
        </w:rPr>
      </w:pPr>
      <w:bookmarkStart w:id="69" w:name="_Hlk151720298"/>
      <w:r w:rsidRPr="00BD00A9">
        <w:rPr>
          <w:rFonts w:ascii="Times New Roman" w:eastAsiaTheme="minorEastAsia" w:hAnsi="Times New Roman"/>
          <w:noProof/>
          <w:sz w:val="24"/>
          <w:szCs w:val="24"/>
          <w:lang w:eastAsia="zh-CN"/>
        </w:rPr>
        <w:t xml:space="preserve">As part of the </w:t>
      </w:r>
      <w:r w:rsidRPr="00BD00A9">
        <w:rPr>
          <w:rFonts w:ascii="Times New Roman" w:eastAsiaTheme="minorEastAsia" w:hAnsi="Times New Roman"/>
          <w:b/>
          <w:bCs/>
          <w:noProof/>
          <w:sz w:val="24"/>
          <w:szCs w:val="24"/>
          <w:lang w:eastAsia="zh-CN"/>
        </w:rPr>
        <w:t>Horizon Europe</w:t>
      </w:r>
      <w:r w:rsidRPr="00BD00A9">
        <w:rPr>
          <w:rFonts w:ascii="Times New Roman" w:eastAsiaTheme="minorEastAsia" w:hAnsi="Times New Roman"/>
          <w:noProof/>
          <w:sz w:val="24"/>
          <w:szCs w:val="24"/>
          <w:lang w:eastAsia="zh-CN"/>
        </w:rPr>
        <w:t xml:space="preserve"> research and innovation funding programme, various collaborative research projects, which bring together academia and stakeholders in the field are starting to collect evidence to improve the connection between citizens and democratic institutions. Under the Work Programmes 2021-2022 and 2023-2024, funds are dedicated to developing recommendations that support EU institutions and national decision-makers to improve impact policy making in this area and to foster more inclusive and representative models of citizen engagement. This research is funded in the ground of other Horizon 2020 projects that have supported projects on participatory and deliberative democracy. </w:t>
      </w:r>
    </w:p>
    <w:p w14:paraId="4025C41C" w14:textId="50411AA8" w:rsidR="00EF1236" w:rsidRPr="00BD00A9" w:rsidRDefault="00EF1236" w:rsidP="00EF1236">
      <w:pPr>
        <w:spacing w:after="240" w:line="276" w:lineRule="auto"/>
        <w:jc w:val="both"/>
        <w:rPr>
          <w:rFonts w:ascii="Times New Roman" w:eastAsiaTheme="minorEastAsia" w:hAnsi="Times New Roman"/>
          <w:noProof/>
          <w:sz w:val="24"/>
          <w:szCs w:val="24"/>
          <w:lang w:eastAsia="zh-CN"/>
        </w:rPr>
      </w:pPr>
      <w:bookmarkStart w:id="70" w:name="_Hlk151735465"/>
      <w:r w:rsidRPr="00BD00A9">
        <w:rPr>
          <w:rFonts w:ascii="Times New Roman" w:eastAsiaTheme="minorEastAsia" w:hAnsi="Times New Roman"/>
          <w:noProof/>
          <w:sz w:val="24"/>
          <w:szCs w:val="24"/>
          <w:lang w:eastAsia="zh-CN"/>
        </w:rPr>
        <w:t>In addition to these efforts specifically dedicated to research to increase citizen participation in decision-making processes, the Horizon programs are also starting to fund projects that can provide the competent EU bodies with the tools to improve the EU response to disinformation campaigns and actions of Foreign Interference and Manipulation of Information (FIMI)</w:t>
      </w:r>
      <w:r w:rsidR="00F0538D">
        <w:rPr>
          <w:rStyle w:val="FootnoteReference"/>
          <w:rFonts w:ascii="Times New Roman" w:eastAsiaTheme="minorEastAsia" w:hAnsi="Times New Roman"/>
          <w:noProof/>
          <w:sz w:val="24"/>
          <w:szCs w:val="24"/>
          <w:lang w:eastAsia="zh-CN"/>
        </w:rPr>
        <w:footnoteReference w:id="133"/>
      </w:r>
      <w:r w:rsidRPr="00BD00A9">
        <w:rPr>
          <w:rFonts w:ascii="Times New Roman" w:eastAsiaTheme="minorEastAsia" w:hAnsi="Times New Roman"/>
          <w:noProof/>
          <w:sz w:val="24"/>
          <w:szCs w:val="24"/>
          <w:lang w:eastAsia="zh-CN"/>
        </w:rPr>
        <w:t>.</w:t>
      </w:r>
    </w:p>
    <w:bookmarkEnd w:id="69"/>
    <w:bookmarkEnd w:id="70"/>
    <w:p w14:paraId="067D7C8F" w14:textId="45CFEB51" w:rsidR="00D855E4" w:rsidRPr="00BD00A9" w:rsidRDefault="00BA29EE" w:rsidP="0062533C">
      <w:pPr>
        <w:spacing w:after="240" w:line="276" w:lineRule="auto"/>
        <w:jc w:val="both"/>
        <w:rPr>
          <w:rFonts w:ascii="Times New Roman" w:eastAsiaTheme="minorEastAsia" w:hAnsi="Times New Roman"/>
          <w:noProof/>
          <w:sz w:val="24"/>
          <w:szCs w:val="24"/>
          <w:lang w:val="en-IE" w:eastAsia="zh-CN"/>
        </w:rPr>
      </w:pPr>
      <w:r w:rsidRPr="00BD00A9">
        <w:rPr>
          <w:rFonts w:ascii="Times New Roman" w:eastAsiaTheme="minorEastAsia" w:hAnsi="Times New Roman"/>
          <w:noProof/>
          <w:sz w:val="24"/>
          <w:szCs w:val="24"/>
          <w:lang w:val="en-IE" w:eastAsia="zh-CN"/>
        </w:rPr>
        <w:t xml:space="preserve">Lastly, </w:t>
      </w:r>
      <w:r w:rsidRPr="00BD00A9">
        <w:rPr>
          <w:rFonts w:ascii="Times New Roman" w:eastAsiaTheme="minorEastAsia" w:hAnsi="Times New Roman"/>
          <w:b/>
          <w:bCs/>
          <w:noProof/>
          <w:sz w:val="24"/>
          <w:szCs w:val="24"/>
          <w:lang w:val="en-IE" w:eastAsia="zh-CN"/>
        </w:rPr>
        <w:t>election observation</w:t>
      </w:r>
      <w:r w:rsidRPr="00BD00A9">
        <w:rPr>
          <w:rFonts w:ascii="Times New Roman" w:eastAsiaTheme="minorEastAsia" w:hAnsi="Times New Roman"/>
          <w:noProof/>
          <w:sz w:val="24"/>
          <w:szCs w:val="24"/>
          <w:lang w:val="en-IE" w:eastAsia="zh-CN"/>
        </w:rPr>
        <w:t xml:space="preserve"> is a good way to engage citizens with the electoral process, and to improve public trust in free and fair elections. </w:t>
      </w:r>
      <w:r w:rsidR="0062533C" w:rsidRPr="00BD00A9">
        <w:rPr>
          <w:rFonts w:ascii="Times New Roman" w:eastAsiaTheme="minorEastAsia" w:hAnsi="Times New Roman"/>
          <w:noProof/>
          <w:sz w:val="24"/>
          <w:szCs w:val="24"/>
          <w:lang w:val="en-IE" w:eastAsia="zh-CN"/>
        </w:rPr>
        <w:t>The Citizens, Equality, Rights and Values (CERV) programme, which was launched in 2021 and will run until 2027, seeks to support and develop open, rights-based, democratic, equal and inclusive societies based on the rule of law. Under the ‘</w:t>
      </w:r>
      <w:r w:rsidR="00023E5B" w:rsidRPr="00BD00A9">
        <w:rPr>
          <w:rFonts w:ascii="Times New Roman" w:eastAsiaTheme="minorEastAsia" w:hAnsi="Times New Roman"/>
          <w:noProof/>
          <w:sz w:val="24"/>
          <w:szCs w:val="24"/>
          <w:lang w:val="en-IE" w:eastAsia="zh-CN"/>
        </w:rPr>
        <w:t>c</w:t>
      </w:r>
      <w:r w:rsidR="0062533C" w:rsidRPr="00BD00A9">
        <w:rPr>
          <w:rFonts w:ascii="Times New Roman" w:eastAsiaTheme="minorEastAsia" w:hAnsi="Times New Roman"/>
          <w:noProof/>
          <w:sz w:val="24"/>
          <w:szCs w:val="24"/>
          <w:lang w:val="en-IE" w:eastAsia="zh-CN"/>
        </w:rPr>
        <w:t xml:space="preserve">itizens’ engagement and participation’ strand, the CERV work programme for 2023-2024 provides funding, among other activities, </w:t>
      </w:r>
      <w:r w:rsidR="00023E5B" w:rsidRPr="00BD00A9">
        <w:rPr>
          <w:rFonts w:ascii="Times New Roman" w:eastAsiaTheme="minorEastAsia" w:hAnsi="Times New Roman"/>
          <w:noProof/>
          <w:sz w:val="24"/>
          <w:szCs w:val="24"/>
          <w:lang w:val="en-IE" w:eastAsia="zh-CN"/>
        </w:rPr>
        <w:t>for</w:t>
      </w:r>
      <w:r w:rsidR="0062533C" w:rsidRPr="00BD00A9">
        <w:rPr>
          <w:rFonts w:ascii="Times New Roman" w:eastAsiaTheme="minorEastAsia" w:hAnsi="Times New Roman"/>
          <w:noProof/>
          <w:sz w:val="24"/>
          <w:szCs w:val="24"/>
          <w:lang w:val="en-IE" w:eastAsia="zh-CN"/>
        </w:rPr>
        <w:t xml:space="preserve"> independent election observation activities, including monitoring by citizens. Under the ‘Union Values’ strand, the Commission may also support independent election observation by funding capacity building </w:t>
      </w:r>
      <w:r w:rsidR="00023E5B" w:rsidRPr="00BD00A9">
        <w:rPr>
          <w:rFonts w:ascii="Times New Roman" w:eastAsiaTheme="minorEastAsia" w:hAnsi="Times New Roman"/>
          <w:noProof/>
          <w:sz w:val="24"/>
          <w:szCs w:val="24"/>
          <w:lang w:val="en-IE" w:eastAsia="zh-CN"/>
        </w:rPr>
        <w:t>for</w:t>
      </w:r>
      <w:r w:rsidR="0062533C" w:rsidRPr="00BD00A9">
        <w:rPr>
          <w:rFonts w:ascii="Times New Roman" w:eastAsiaTheme="minorEastAsia" w:hAnsi="Times New Roman"/>
          <w:noProof/>
          <w:sz w:val="24"/>
          <w:szCs w:val="24"/>
          <w:lang w:val="en-IE" w:eastAsia="zh-CN"/>
        </w:rPr>
        <w:t xml:space="preserve"> civil society organisations active in this area. </w:t>
      </w:r>
    </w:p>
    <w:p w14:paraId="45CC2EC8" w14:textId="7B4E83AD" w:rsidR="00D855E4" w:rsidRPr="00BD00A9" w:rsidRDefault="00D855E4" w:rsidP="00D855E4">
      <w:pPr>
        <w:pStyle w:val="Heading2"/>
      </w:pPr>
      <w:bookmarkStart w:id="72" w:name="_Toc150854724"/>
      <w:bookmarkStart w:id="73" w:name="_Toc152502505"/>
      <w:r w:rsidRPr="00BD00A9">
        <w:t>Case</w:t>
      </w:r>
      <w:r w:rsidR="00904724" w:rsidRPr="00BD00A9">
        <w:t xml:space="preserve"> </w:t>
      </w:r>
      <w:r w:rsidRPr="00BD00A9">
        <w:t>law developments</w:t>
      </w:r>
      <w:bookmarkEnd w:id="72"/>
      <w:bookmarkEnd w:id="73"/>
    </w:p>
    <w:p w14:paraId="3C0F7673" w14:textId="2AB2C617" w:rsidR="007D5743" w:rsidRPr="00BD00A9" w:rsidRDefault="008F7755" w:rsidP="0030490A">
      <w:pPr>
        <w:spacing w:after="240" w:line="276" w:lineRule="auto"/>
        <w:jc w:val="both"/>
        <w:rPr>
          <w:rFonts w:ascii="Times New Roman" w:eastAsiaTheme="minorEastAsia" w:hAnsi="Times New Roman"/>
          <w:noProof/>
          <w:sz w:val="24"/>
          <w:szCs w:val="24"/>
          <w:lang w:val="en-GB" w:eastAsia="zh-CN"/>
        </w:rPr>
      </w:pPr>
      <w:r w:rsidRPr="00BD00A9">
        <w:rPr>
          <w:rFonts w:ascii="Times New Roman" w:eastAsiaTheme="minorEastAsia" w:hAnsi="Times New Roman"/>
          <w:noProof/>
          <w:sz w:val="24"/>
          <w:szCs w:val="24"/>
          <w:lang w:val="en-GB" w:eastAsia="zh-CN"/>
        </w:rPr>
        <w:t>I</w:t>
      </w:r>
      <w:r w:rsidR="007D5743" w:rsidRPr="00BD00A9">
        <w:rPr>
          <w:rFonts w:ascii="Times New Roman" w:eastAsiaTheme="minorEastAsia" w:hAnsi="Times New Roman"/>
          <w:noProof/>
          <w:sz w:val="24"/>
          <w:szCs w:val="24"/>
          <w:lang w:val="en-GB" w:eastAsia="zh-CN"/>
        </w:rPr>
        <w:t xml:space="preserve">n </w:t>
      </w:r>
      <w:r w:rsidR="007D5743" w:rsidRPr="00BD00A9">
        <w:rPr>
          <w:rFonts w:ascii="Times New Roman" w:eastAsiaTheme="minorEastAsia" w:hAnsi="Times New Roman"/>
          <w:b/>
          <w:i/>
          <w:noProof/>
          <w:sz w:val="24"/>
          <w:szCs w:val="24"/>
          <w:lang w:val="en-GB" w:eastAsia="zh-CN"/>
        </w:rPr>
        <w:t>EP v Préfet du Gers</w:t>
      </w:r>
      <w:r w:rsidR="007D5743" w:rsidRPr="00BD00A9">
        <w:rPr>
          <w:rFonts w:ascii="Times New Roman" w:eastAsiaTheme="minorEastAsia" w:hAnsi="Times New Roman"/>
          <w:b/>
          <w:noProof/>
          <w:sz w:val="24"/>
          <w:szCs w:val="24"/>
          <w:lang w:val="en-GB" w:eastAsia="zh-CN"/>
        </w:rPr>
        <w:t xml:space="preserve"> </w:t>
      </w:r>
      <w:r w:rsidR="007D5743" w:rsidRPr="00BD00A9">
        <w:rPr>
          <w:rFonts w:ascii="Times New Roman" w:eastAsiaTheme="minorEastAsia" w:hAnsi="Times New Roman"/>
          <w:b/>
          <w:i/>
          <w:noProof/>
          <w:sz w:val="24"/>
          <w:szCs w:val="24"/>
          <w:lang w:val="en-GB" w:eastAsia="zh-CN"/>
        </w:rPr>
        <w:t>and Institut national de la statistique et des études économiques (INSEE)</w:t>
      </w:r>
      <w:r w:rsidR="007D5743" w:rsidRPr="00BD00A9">
        <w:rPr>
          <w:rFonts w:ascii="Times New Roman" w:eastAsiaTheme="minorEastAsia" w:hAnsi="Times New Roman"/>
          <w:bCs/>
          <w:iCs/>
          <w:noProof/>
          <w:sz w:val="24"/>
          <w:szCs w:val="24"/>
          <w:vertAlign w:val="superscript"/>
          <w:lang w:val="en-GB" w:eastAsia="zh-CN"/>
        </w:rPr>
        <w:footnoteReference w:id="134"/>
      </w:r>
      <w:r w:rsidR="007D5743" w:rsidRPr="00BD00A9">
        <w:rPr>
          <w:rFonts w:ascii="Times New Roman" w:eastAsiaTheme="minorEastAsia" w:hAnsi="Times New Roman"/>
          <w:bCs/>
          <w:iCs/>
          <w:noProof/>
          <w:sz w:val="24"/>
          <w:szCs w:val="24"/>
          <w:lang w:val="en-GB" w:eastAsia="zh-CN"/>
        </w:rPr>
        <w:t xml:space="preserve">, </w:t>
      </w:r>
      <w:r w:rsidR="007D5743" w:rsidRPr="00BD00A9">
        <w:rPr>
          <w:rFonts w:ascii="Times New Roman" w:eastAsiaTheme="minorEastAsia" w:hAnsi="Times New Roman"/>
          <w:noProof/>
          <w:sz w:val="24"/>
          <w:szCs w:val="24"/>
          <w:lang w:val="en-GB" w:eastAsia="zh-CN"/>
        </w:rPr>
        <w:t xml:space="preserve">the Court </w:t>
      </w:r>
      <w:r w:rsidR="00D4044E" w:rsidRPr="00BD00A9">
        <w:rPr>
          <w:rFonts w:ascii="Times New Roman" w:eastAsiaTheme="minorEastAsia" w:hAnsi="Times New Roman"/>
          <w:noProof/>
          <w:sz w:val="24"/>
          <w:szCs w:val="24"/>
          <w:lang w:val="en-GB" w:eastAsia="zh-CN"/>
        </w:rPr>
        <w:t>held</w:t>
      </w:r>
      <w:r w:rsidR="007D5743" w:rsidRPr="00BD00A9">
        <w:rPr>
          <w:rFonts w:ascii="Times New Roman" w:eastAsiaTheme="minorEastAsia" w:hAnsi="Times New Roman"/>
          <w:noProof/>
          <w:sz w:val="24"/>
          <w:szCs w:val="24"/>
          <w:lang w:val="en-GB" w:eastAsia="zh-CN"/>
        </w:rPr>
        <w:t xml:space="preserve"> that</w:t>
      </w:r>
      <w:r w:rsidR="00D4044E" w:rsidRPr="00BD00A9">
        <w:rPr>
          <w:rFonts w:ascii="Times New Roman" w:eastAsiaTheme="minorEastAsia" w:hAnsi="Times New Roman"/>
          <w:noProof/>
          <w:sz w:val="24"/>
          <w:szCs w:val="24"/>
          <w:lang w:val="en-GB" w:eastAsia="zh-CN"/>
        </w:rPr>
        <w:t>,</w:t>
      </w:r>
      <w:r w:rsidR="007D5743" w:rsidRPr="00BD00A9">
        <w:rPr>
          <w:rFonts w:ascii="Times New Roman" w:eastAsiaTheme="minorEastAsia" w:hAnsi="Times New Roman"/>
          <w:noProof/>
          <w:sz w:val="24"/>
          <w:szCs w:val="24"/>
          <w:lang w:val="en-GB" w:eastAsia="zh-CN"/>
        </w:rPr>
        <w:t xml:space="preserve"> since the entry into force of the </w:t>
      </w:r>
      <w:r w:rsidR="00023E5B" w:rsidRPr="00BD00A9">
        <w:rPr>
          <w:rFonts w:ascii="Times New Roman" w:eastAsiaTheme="minorEastAsia" w:hAnsi="Times New Roman"/>
          <w:noProof/>
          <w:sz w:val="24"/>
          <w:szCs w:val="24"/>
          <w:lang w:val="en-GB" w:eastAsia="zh-CN"/>
        </w:rPr>
        <w:t>EU-UK W</w:t>
      </w:r>
      <w:r w:rsidR="007D5743" w:rsidRPr="00BD00A9">
        <w:rPr>
          <w:rFonts w:ascii="Times New Roman" w:eastAsiaTheme="minorEastAsia" w:hAnsi="Times New Roman"/>
          <w:noProof/>
          <w:sz w:val="24"/>
          <w:szCs w:val="24"/>
          <w:lang w:val="en-GB" w:eastAsia="zh-CN"/>
        </w:rPr>
        <w:t xml:space="preserve">ithdrawal </w:t>
      </w:r>
      <w:r w:rsidR="00023E5B" w:rsidRPr="00BD00A9">
        <w:rPr>
          <w:rFonts w:ascii="Times New Roman" w:eastAsiaTheme="minorEastAsia" w:hAnsi="Times New Roman"/>
          <w:noProof/>
          <w:sz w:val="24"/>
          <w:szCs w:val="24"/>
          <w:lang w:val="en-GB" w:eastAsia="zh-CN"/>
        </w:rPr>
        <w:t>Agreement</w:t>
      </w:r>
      <w:r w:rsidR="00D4044E" w:rsidRPr="00BD00A9">
        <w:rPr>
          <w:rFonts w:ascii="Times New Roman" w:eastAsiaTheme="minorEastAsia" w:hAnsi="Times New Roman"/>
          <w:noProof/>
          <w:sz w:val="24"/>
          <w:szCs w:val="24"/>
          <w:lang w:val="en-GB" w:eastAsia="zh-CN"/>
        </w:rPr>
        <w:t xml:space="preserve"> (</w:t>
      </w:r>
      <w:r w:rsidR="007D5743" w:rsidRPr="00BD00A9">
        <w:rPr>
          <w:rFonts w:ascii="Times New Roman" w:eastAsiaTheme="minorEastAsia" w:hAnsi="Times New Roman"/>
          <w:noProof/>
          <w:sz w:val="24"/>
          <w:szCs w:val="24"/>
          <w:lang w:val="en-GB" w:eastAsia="zh-CN"/>
        </w:rPr>
        <w:t>1 February 2020</w:t>
      </w:r>
      <w:r w:rsidR="00D4044E" w:rsidRPr="00BD00A9">
        <w:rPr>
          <w:rFonts w:ascii="Times New Roman" w:eastAsiaTheme="minorEastAsia" w:hAnsi="Times New Roman"/>
          <w:noProof/>
          <w:sz w:val="24"/>
          <w:szCs w:val="24"/>
          <w:lang w:val="en-GB" w:eastAsia="zh-CN"/>
        </w:rPr>
        <w:t>)</w:t>
      </w:r>
      <w:r w:rsidR="007D5743" w:rsidRPr="00BD00A9">
        <w:rPr>
          <w:rFonts w:ascii="Times New Roman" w:eastAsiaTheme="minorEastAsia" w:hAnsi="Times New Roman"/>
          <w:noProof/>
          <w:sz w:val="24"/>
          <w:szCs w:val="24"/>
          <w:lang w:val="en-GB" w:eastAsia="zh-CN"/>
        </w:rPr>
        <w:t>, United Kingdom nationals are treated as non-EU nationals and are not guaranteed the right to vote</w:t>
      </w:r>
      <w:r w:rsidR="00023E5B" w:rsidRPr="00BD00A9">
        <w:rPr>
          <w:rFonts w:ascii="Times New Roman" w:eastAsiaTheme="minorEastAsia" w:hAnsi="Times New Roman"/>
          <w:noProof/>
          <w:sz w:val="24"/>
          <w:szCs w:val="24"/>
          <w:lang w:val="en-GB" w:eastAsia="zh-CN"/>
        </w:rPr>
        <w:t xml:space="preserve"> or</w:t>
      </w:r>
      <w:r w:rsidR="007D5743" w:rsidRPr="00BD00A9">
        <w:rPr>
          <w:rFonts w:ascii="Times New Roman" w:eastAsiaTheme="minorEastAsia" w:hAnsi="Times New Roman"/>
          <w:noProof/>
          <w:sz w:val="24"/>
          <w:szCs w:val="24"/>
          <w:lang w:val="en-GB" w:eastAsia="zh-CN"/>
        </w:rPr>
        <w:t xml:space="preserve"> stand as candidate</w:t>
      </w:r>
      <w:r w:rsidR="00023E5B" w:rsidRPr="00BD00A9">
        <w:rPr>
          <w:rFonts w:ascii="Times New Roman" w:eastAsiaTheme="minorEastAsia" w:hAnsi="Times New Roman"/>
          <w:noProof/>
          <w:sz w:val="24"/>
          <w:szCs w:val="24"/>
          <w:lang w:val="en-GB" w:eastAsia="zh-CN"/>
        </w:rPr>
        <w:t>s</w:t>
      </w:r>
      <w:r w:rsidR="007D5743" w:rsidRPr="00BD00A9">
        <w:rPr>
          <w:rFonts w:ascii="Times New Roman" w:eastAsiaTheme="minorEastAsia" w:hAnsi="Times New Roman"/>
          <w:noProof/>
          <w:sz w:val="24"/>
          <w:szCs w:val="24"/>
          <w:lang w:val="en-GB" w:eastAsia="zh-CN"/>
        </w:rPr>
        <w:t xml:space="preserve"> in municipal elections in their Member State of residence. To this effect, the loss of voting rights in the Member State of nationality has no bearing on this conclusion</w:t>
      </w:r>
      <w:r w:rsidR="007D5743" w:rsidRPr="00BD00A9">
        <w:rPr>
          <w:rFonts w:ascii="Times New Roman" w:eastAsiaTheme="minorEastAsia" w:hAnsi="Times New Roman"/>
          <w:noProof/>
          <w:sz w:val="24"/>
          <w:szCs w:val="24"/>
          <w:vertAlign w:val="superscript"/>
          <w:lang w:val="en-GB" w:eastAsia="zh-CN"/>
        </w:rPr>
        <w:footnoteReference w:id="135"/>
      </w:r>
      <w:r w:rsidR="007D5743" w:rsidRPr="00BD00A9">
        <w:rPr>
          <w:rFonts w:ascii="Times New Roman" w:eastAsiaTheme="minorEastAsia" w:hAnsi="Times New Roman"/>
          <w:noProof/>
          <w:sz w:val="24"/>
          <w:szCs w:val="24"/>
          <w:lang w:val="en-GB" w:eastAsia="zh-CN"/>
        </w:rPr>
        <w:t xml:space="preserve">. </w:t>
      </w:r>
    </w:p>
    <w:p w14:paraId="52179E9E" w14:textId="34C347E8" w:rsidR="00D855E4" w:rsidRPr="00BD00A9" w:rsidRDefault="00D855E4" w:rsidP="00D855E4">
      <w:pPr>
        <w:pStyle w:val="Heading1"/>
      </w:pPr>
      <w:bookmarkStart w:id="74" w:name="_Toc150854725"/>
      <w:bookmarkStart w:id="75" w:name="_Toc152502506"/>
      <w:r w:rsidRPr="00BD00A9">
        <w:t>Right to protection by diplomatic or consular authorities (Articles 20(2)(c) and 23 TFEU)</w:t>
      </w:r>
      <w:bookmarkEnd w:id="74"/>
      <w:bookmarkEnd w:id="75"/>
    </w:p>
    <w:p w14:paraId="25D893B5" w14:textId="7ED80F09" w:rsidR="00DD25C9" w:rsidRPr="00BD00A9" w:rsidRDefault="00DD25C9" w:rsidP="00D855E4">
      <w:pPr>
        <w:pStyle w:val="Heading2"/>
      </w:pPr>
      <w:bookmarkStart w:id="76" w:name="_Toc150854726"/>
      <w:bookmarkStart w:id="77" w:name="_Toc152502507"/>
      <w:r w:rsidRPr="00BD00A9">
        <w:t>Introduction</w:t>
      </w:r>
      <w:bookmarkEnd w:id="76"/>
      <w:bookmarkEnd w:id="77"/>
    </w:p>
    <w:p w14:paraId="6F37736E" w14:textId="3D544610" w:rsidR="0030490A" w:rsidRPr="00BD00A9" w:rsidRDefault="00DD25C9" w:rsidP="00682AEF">
      <w:pPr>
        <w:spacing w:after="240" w:line="276" w:lineRule="auto"/>
        <w:jc w:val="both"/>
        <w:rPr>
          <w:rFonts w:ascii="Times New Roman" w:eastAsiaTheme="minorEastAsia" w:hAnsi="Times New Roman"/>
          <w:noProof/>
          <w:sz w:val="24"/>
          <w:szCs w:val="24"/>
          <w:lang w:val="en-GB" w:eastAsia="zh-CN"/>
        </w:rPr>
      </w:pPr>
      <w:r w:rsidRPr="00BD00A9">
        <w:rPr>
          <w:rFonts w:ascii="Times New Roman" w:eastAsiaTheme="minorEastAsia" w:hAnsi="Times New Roman"/>
          <w:noProof/>
          <w:sz w:val="24"/>
          <w:szCs w:val="24"/>
          <w:lang w:val="en-GB" w:eastAsia="zh-CN"/>
        </w:rPr>
        <w:t xml:space="preserve">Under Articles 20(2)(c) and 23 TFEU, EU citizens have the right to be protected by diplomatic and consular authorities of any other Member State </w:t>
      </w:r>
      <w:r w:rsidR="00B10CE6" w:rsidRPr="00BD00A9">
        <w:rPr>
          <w:rFonts w:ascii="Times New Roman" w:eastAsiaTheme="minorEastAsia" w:hAnsi="Times New Roman"/>
          <w:noProof/>
          <w:sz w:val="24"/>
          <w:szCs w:val="24"/>
          <w:lang w:val="en-GB" w:eastAsia="zh-CN"/>
        </w:rPr>
        <w:t>under</w:t>
      </w:r>
      <w:r w:rsidRPr="00BD00A9">
        <w:rPr>
          <w:rFonts w:ascii="Times New Roman" w:eastAsiaTheme="minorEastAsia" w:hAnsi="Times New Roman"/>
          <w:noProof/>
          <w:sz w:val="24"/>
          <w:szCs w:val="24"/>
          <w:lang w:val="en-GB" w:eastAsia="zh-CN"/>
        </w:rPr>
        <w:t xml:space="preserve"> the same conditions as that state’s nationals when they are in a non-EU country </w:t>
      </w:r>
      <w:r w:rsidR="00B10CE6" w:rsidRPr="00BD00A9">
        <w:rPr>
          <w:rFonts w:ascii="Times New Roman" w:eastAsiaTheme="minorEastAsia" w:hAnsi="Times New Roman"/>
          <w:noProof/>
          <w:sz w:val="24"/>
          <w:szCs w:val="24"/>
          <w:lang w:val="en-GB" w:eastAsia="zh-CN"/>
        </w:rPr>
        <w:t>in which</w:t>
      </w:r>
      <w:r w:rsidRPr="00BD00A9">
        <w:rPr>
          <w:rFonts w:ascii="Times New Roman" w:eastAsiaTheme="minorEastAsia" w:hAnsi="Times New Roman"/>
          <w:noProof/>
          <w:sz w:val="24"/>
          <w:szCs w:val="24"/>
          <w:lang w:val="en-GB" w:eastAsia="zh-CN"/>
        </w:rPr>
        <w:t xml:space="preserve"> their Member State of origin does not have representation. </w:t>
      </w:r>
      <w:r w:rsidR="00682AEF" w:rsidRPr="00BD00A9">
        <w:rPr>
          <w:rFonts w:ascii="Times New Roman" w:eastAsiaTheme="minorEastAsia" w:hAnsi="Times New Roman"/>
          <w:noProof/>
          <w:sz w:val="24"/>
          <w:szCs w:val="24"/>
          <w:lang w:val="en-GB" w:eastAsia="zh-CN"/>
        </w:rPr>
        <w:t xml:space="preserve">This right is an expression of the external dimension of EU citizenship, a manifestation of Member States’ solidarity, and strengthens the identity of the EU in </w:t>
      </w:r>
      <w:r w:rsidR="00B10CE6" w:rsidRPr="00BD00A9">
        <w:rPr>
          <w:rFonts w:ascii="Times New Roman" w:eastAsiaTheme="minorEastAsia" w:hAnsi="Times New Roman"/>
          <w:noProof/>
          <w:sz w:val="24"/>
          <w:szCs w:val="24"/>
          <w:lang w:val="en-GB" w:eastAsia="zh-CN"/>
        </w:rPr>
        <w:t>non-EU</w:t>
      </w:r>
      <w:r w:rsidR="00682AEF" w:rsidRPr="00BD00A9">
        <w:rPr>
          <w:rFonts w:ascii="Times New Roman" w:eastAsiaTheme="minorEastAsia" w:hAnsi="Times New Roman"/>
          <w:noProof/>
          <w:sz w:val="24"/>
          <w:szCs w:val="24"/>
          <w:lang w:val="en-GB" w:eastAsia="zh-CN"/>
        </w:rPr>
        <w:t xml:space="preserve"> countries. It protects EU citizens who find themselves in difficulty abroad. Its importance is most clearly felt in the context of large-scale crisis situations, natural or caused by human activity, which may require urgent relief and repatriation of large numbers of EU citizens.</w:t>
      </w:r>
    </w:p>
    <w:p w14:paraId="17695C5C" w14:textId="48F19339" w:rsidR="00DD25C9" w:rsidRPr="00BD00A9" w:rsidRDefault="5ED4BAA4" w:rsidP="00DD25C9">
      <w:pPr>
        <w:spacing w:after="240" w:line="276" w:lineRule="auto"/>
        <w:jc w:val="both"/>
        <w:rPr>
          <w:rFonts w:ascii="Times New Roman" w:hAnsi="Times New Roman"/>
          <w:noProof/>
          <w:sz w:val="24"/>
          <w:szCs w:val="24"/>
          <w:lang w:val="en-IE"/>
        </w:rPr>
      </w:pPr>
      <w:r w:rsidRPr="00BD00A9">
        <w:rPr>
          <w:rFonts w:ascii="Times New Roman" w:hAnsi="Times New Roman"/>
          <w:noProof/>
          <w:sz w:val="24"/>
          <w:szCs w:val="24"/>
          <w:lang w:val="en-IE"/>
        </w:rPr>
        <w:t xml:space="preserve">According to the 2023 Eurobarometer on </w:t>
      </w:r>
      <w:r w:rsidR="00B10CE6" w:rsidRPr="00BD00A9">
        <w:rPr>
          <w:rFonts w:ascii="Times New Roman" w:hAnsi="Times New Roman"/>
          <w:noProof/>
          <w:sz w:val="24"/>
          <w:szCs w:val="24"/>
          <w:lang w:val="en-IE"/>
        </w:rPr>
        <w:t>C</w:t>
      </w:r>
      <w:r w:rsidRPr="00BD00A9">
        <w:rPr>
          <w:rFonts w:ascii="Times New Roman" w:hAnsi="Times New Roman"/>
          <w:noProof/>
          <w:sz w:val="24"/>
          <w:szCs w:val="24"/>
          <w:lang w:val="en-IE"/>
        </w:rPr>
        <w:t xml:space="preserve">itizenship and </w:t>
      </w:r>
      <w:r w:rsidR="00B10CE6" w:rsidRPr="00BD00A9">
        <w:rPr>
          <w:rFonts w:ascii="Times New Roman" w:hAnsi="Times New Roman"/>
          <w:noProof/>
          <w:sz w:val="24"/>
          <w:szCs w:val="24"/>
          <w:lang w:val="en-IE"/>
        </w:rPr>
        <w:t>d</w:t>
      </w:r>
      <w:r w:rsidRPr="00BD00A9">
        <w:rPr>
          <w:rFonts w:ascii="Times New Roman" w:hAnsi="Times New Roman"/>
          <w:noProof/>
          <w:sz w:val="24"/>
          <w:szCs w:val="24"/>
          <w:lang w:val="en-IE"/>
        </w:rPr>
        <w:t xml:space="preserve">emocracy, 69% of EU citizens are aware of this right. A large majority of respondents </w:t>
      </w:r>
      <w:r w:rsidR="4EBF3AD2" w:rsidRPr="00BD00A9">
        <w:rPr>
          <w:rFonts w:ascii="Times New Roman" w:hAnsi="Times New Roman"/>
          <w:noProof/>
          <w:sz w:val="24"/>
          <w:szCs w:val="24"/>
          <w:lang w:val="en-IE"/>
        </w:rPr>
        <w:t>(</w:t>
      </w:r>
      <w:r w:rsidRPr="00BD00A9">
        <w:rPr>
          <w:rFonts w:ascii="Times New Roman" w:hAnsi="Times New Roman"/>
          <w:noProof/>
          <w:sz w:val="24"/>
          <w:szCs w:val="24"/>
          <w:lang w:val="en-IE"/>
        </w:rPr>
        <w:t>93%</w:t>
      </w:r>
      <w:r w:rsidR="410EF29D" w:rsidRPr="00BD00A9">
        <w:rPr>
          <w:rFonts w:ascii="Times New Roman" w:hAnsi="Times New Roman"/>
          <w:noProof/>
          <w:sz w:val="24"/>
          <w:szCs w:val="24"/>
          <w:lang w:val="en-IE"/>
        </w:rPr>
        <w:t>)</w:t>
      </w:r>
      <w:r w:rsidRPr="00BD00A9">
        <w:rPr>
          <w:rFonts w:ascii="Times New Roman" w:hAnsi="Times New Roman"/>
          <w:noProof/>
          <w:sz w:val="24"/>
          <w:szCs w:val="24"/>
          <w:lang w:val="en-IE"/>
        </w:rPr>
        <w:t xml:space="preserve"> agree that EU Member States should cooperate closely to help EU citizens who need consular protection outside the EU. A similar proportion (91%) agree that, if they were in a non-EU country where their national government had no consulate or embassy and they needed help, they would seek support from an EU Delegation instead.</w:t>
      </w:r>
    </w:p>
    <w:p w14:paraId="76536A48" w14:textId="4D640A5A" w:rsidR="00D855E4" w:rsidRPr="00BD00A9" w:rsidRDefault="00D855E4" w:rsidP="00D855E4">
      <w:pPr>
        <w:pStyle w:val="Heading2"/>
      </w:pPr>
      <w:bookmarkStart w:id="78" w:name="_Toc150854727"/>
      <w:bookmarkStart w:id="79" w:name="_Toc152502508"/>
      <w:r w:rsidRPr="00BD00A9">
        <w:t>Policy developments</w:t>
      </w:r>
      <w:bookmarkEnd w:id="78"/>
      <w:bookmarkEnd w:id="79"/>
    </w:p>
    <w:p w14:paraId="00BC16C2" w14:textId="713BD77A" w:rsidR="004535D5" w:rsidRPr="00BD00A9" w:rsidRDefault="00506CFB" w:rsidP="00506CFB">
      <w:pPr>
        <w:spacing w:after="240" w:line="276" w:lineRule="auto"/>
        <w:jc w:val="both"/>
        <w:rPr>
          <w:rFonts w:ascii="Times New Roman" w:eastAsiaTheme="minorEastAsia" w:hAnsi="Times New Roman"/>
          <w:noProof/>
          <w:sz w:val="24"/>
          <w:szCs w:val="24"/>
          <w:lang w:val="en-IE" w:eastAsia="zh-CN"/>
        </w:rPr>
      </w:pPr>
      <w:r w:rsidRPr="00BD00A9">
        <w:rPr>
          <w:rFonts w:ascii="Times New Roman" w:eastAsiaTheme="minorEastAsia" w:hAnsi="Times New Roman"/>
          <w:noProof/>
          <w:sz w:val="24"/>
          <w:szCs w:val="24"/>
          <w:lang w:val="en-IE" w:eastAsia="zh-CN"/>
        </w:rPr>
        <w:t xml:space="preserve">As </w:t>
      </w:r>
      <w:r w:rsidR="002E1AD5" w:rsidRPr="00BD00A9">
        <w:rPr>
          <w:rFonts w:ascii="Times New Roman" w:eastAsiaTheme="minorEastAsia" w:hAnsi="Times New Roman"/>
          <w:noProof/>
          <w:sz w:val="24"/>
          <w:szCs w:val="24"/>
          <w:lang w:val="en-IE" w:eastAsia="zh-CN"/>
        </w:rPr>
        <w:t>explained above</w:t>
      </w:r>
      <w:r w:rsidR="00D22A0B" w:rsidRPr="00BD00A9">
        <w:rPr>
          <w:rFonts w:ascii="Times New Roman" w:eastAsiaTheme="minorEastAsia" w:hAnsi="Times New Roman"/>
          <w:noProof/>
          <w:sz w:val="24"/>
          <w:szCs w:val="24"/>
          <w:lang w:val="en-IE" w:eastAsia="zh-CN"/>
        </w:rPr>
        <w:t xml:space="preserve">, </w:t>
      </w:r>
      <w:r w:rsidRPr="00BD00A9">
        <w:rPr>
          <w:rFonts w:ascii="Times New Roman" w:eastAsiaTheme="minorEastAsia" w:hAnsi="Times New Roman"/>
          <w:noProof/>
          <w:sz w:val="24"/>
          <w:szCs w:val="24"/>
          <w:lang w:val="en-IE" w:eastAsia="zh-CN"/>
        </w:rPr>
        <w:t>the Commission</w:t>
      </w:r>
      <w:r w:rsidR="002765C7" w:rsidRPr="00BD00A9">
        <w:rPr>
          <w:rFonts w:ascii="Times New Roman" w:eastAsiaTheme="minorEastAsia" w:hAnsi="Times New Roman"/>
          <w:noProof/>
          <w:sz w:val="24"/>
          <w:szCs w:val="24"/>
          <w:lang w:val="en-IE" w:eastAsia="zh-CN"/>
        </w:rPr>
        <w:t xml:space="preserve"> </w:t>
      </w:r>
      <w:r w:rsidR="002E1AD5" w:rsidRPr="00BD00A9">
        <w:rPr>
          <w:rFonts w:ascii="Times New Roman" w:eastAsiaTheme="minorEastAsia" w:hAnsi="Times New Roman"/>
          <w:noProof/>
          <w:sz w:val="24"/>
          <w:szCs w:val="24"/>
          <w:lang w:val="en-IE" w:eastAsia="zh-CN"/>
        </w:rPr>
        <w:t>is adopting</w:t>
      </w:r>
      <w:r w:rsidR="00E72DEC" w:rsidRPr="00BD00A9">
        <w:rPr>
          <w:rFonts w:ascii="Times New Roman" w:eastAsiaTheme="minorEastAsia" w:hAnsi="Times New Roman"/>
          <w:noProof/>
          <w:sz w:val="24"/>
          <w:szCs w:val="24"/>
          <w:lang w:val="en-IE" w:eastAsia="zh-CN"/>
        </w:rPr>
        <w:t xml:space="preserve"> a proposal to </w:t>
      </w:r>
      <w:r w:rsidR="006C422B" w:rsidRPr="00BD00A9">
        <w:rPr>
          <w:rFonts w:ascii="Times New Roman" w:eastAsiaTheme="minorEastAsia" w:hAnsi="Times New Roman"/>
          <w:noProof/>
          <w:sz w:val="24"/>
          <w:szCs w:val="24"/>
          <w:lang w:val="en-IE" w:eastAsia="zh-CN"/>
        </w:rPr>
        <w:t>amend</w:t>
      </w:r>
      <w:r w:rsidRPr="00BD00A9">
        <w:rPr>
          <w:rFonts w:ascii="Times New Roman" w:eastAsiaTheme="minorEastAsia" w:hAnsi="Times New Roman"/>
          <w:noProof/>
          <w:sz w:val="24"/>
          <w:szCs w:val="24"/>
          <w:lang w:val="en-IE" w:eastAsia="zh-CN"/>
        </w:rPr>
        <w:t xml:space="preserve"> </w:t>
      </w:r>
      <w:r w:rsidR="00E72DEC" w:rsidRPr="00BD00A9">
        <w:rPr>
          <w:rFonts w:ascii="Times New Roman" w:eastAsiaTheme="minorEastAsia" w:hAnsi="Times New Roman"/>
          <w:noProof/>
          <w:sz w:val="24"/>
          <w:szCs w:val="24"/>
          <w:lang w:val="en-IE" w:eastAsia="zh-CN"/>
        </w:rPr>
        <w:t xml:space="preserve">the </w:t>
      </w:r>
      <w:r w:rsidR="00E72DEC" w:rsidRPr="00BD00A9">
        <w:rPr>
          <w:rFonts w:ascii="Times New Roman" w:eastAsiaTheme="minorEastAsia" w:hAnsi="Times New Roman"/>
          <w:b/>
          <w:bCs/>
          <w:noProof/>
          <w:sz w:val="24"/>
          <w:szCs w:val="24"/>
          <w:lang w:eastAsia="zh-CN"/>
        </w:rPr>
        <w:t>Consular Protection Directive</w:t>
      </w:r>
      <w:r w:rsidR="002E1AD5" w:rsidRPr="00BD00A9">
        <w:rPr>
          <w:rFonts w:ascii="Times New Roman" w:eastAsiaTheme="minorEastAsia" w:hAnsi="Times New Roman"/>
          <w:b/>
          <w:bCs/>
          <w:noProof/>
          <w:sz w:val="24"/>
          <w:szCs w:val="24"/>
          <w:lang w:eastAsia="zh-CN"/>
        </w:rPr>
        <w:t xml:space="preserve"> </w:t>
      </w:r>
      <w:r w:rsidR="002E1AD5" w:rsidRPr="00BD00A9">
        <w:rPr>
          <w:rFonts w:ascii="Times New Roman" w:eastAsiaTheme="minorEastAsia" w:hAnsi="Times New Roman"/>
          <w:noProof/>
          <w:sz w:val="24"/>
          <w:szCs w:val="24"/>
          <w:lang w:eastAsia="zh-CN"/>
        </w:rPr>
        <w:t>as part of the Citizenship Package</w:t>
      </w:r>
      <w:r w:rsidR="00214199">
        <w:rPr>
          <w:rStyle w:val="FootnoteReference"/>
          <w:rFonts w:ascii="Times New Roman" w:eastAsiaTheme="minorEastAsia" w:hAnsi="Times New Roman"/>
          <w:noProof/>
          <w:sz w:val="24"/>
          <w:szCs w:val="24"/>
          <w:lang w:eastAsia="zh-CN"/>
        </w:rPr>
        <w:footnoteReference w:id="136"/>
      </w:r>
      <w:r w:rsidR="002E1AD5" w:rsidRPr="00BD00A9">
        <w:rPr>
          <w:rFonts w:ascii="Times New Roman" w:eastAsiaTheme="minorEastAsia" w:hAnsi="Times New Roman"/>
          <w:b/>
          <w:bCs/>
          <w:noProof/>
          <w:sz w:val="24"/>
          <w:szCs w:val="24"/>
          <w:lang w:eastAsia="zh-CN"/>
        </w:rPr>
        <w:t>.</w:t>
      </w:r>
      <w:r w:rsidR="00E72DEC" w:rsidRPr="00BD00A9">
        <w:rPr>
          <w:rFonts w:ascii="Times New Roman" w:eastAsiaTheme="minorEastAsia" w:hAnsi="Times New Roman"/>
          <w:noProof/>
          <w:sz w:val="24"/>
          <w:szCs w:val="24"/>
          <w:lang w:eastAsia="zh-CN"/>
        </w:rPr>
        <w:t xml:space="preserve"> </w:t>
      </w:r>
    </w:p>
    <w:p w14:paraId="369FD989" w14:textId="48A1B8BD" w:rsidR="00506CFB" w:rsidRPr="00BD00A9" w:rsidRDefault="001971E6" w:rsidP="001971E6">
      <w:pPr>
        <w:spacing w:after="240" w:line="276" w:lineRule="auto"/>
        <w:jc w:val="both"/>
        <w:rPr>
          <w:rFonts w:ascii="Times New Roman" w:eastAsiaTheme="minorEastAsia" w:hAnsi="Times New Roman"/>
          <w:noProof/>
          <w:sz w:val="24"/>
          <w:szCs w:val="24"/>
          <w:lang w:val="en-IE" w:eastAsia="zh-CN"/>
        </w:rPr>
      </w:pPr>
      <w:r w:rsidRPr="00BD00A9">
        <w:rPr>
          <w:rFonts w:ascii="Times New Roman" w:hAnsi="Times New Roman"/>
          <w:noProof/>
          <w:sz w:val="24"/>
          <w:szCs w:val="24"/>
          <w:lang w:val="en-IE"/>
        </w:rPr>
        <w:t xml:space="preserve">As indicated in the last </w:t>
      </w:r>
      <w:r w:rsidR="00FB64D2" w:rsidRPr="00BD00A9">
        <w:rPr>
          <w:rFonts w:ascii="Times New Roman" w:hAnsi="Times New Roman"/>
          <w:noProof/>
          <w:sz w:val="24"/>
          <w:szCs w:val="24"/>
          <w:lang w:val="en-IE"/>
        </w:rPr>
        <w:t xml:space="preserve">progress </w:t>
      </w:r>
      <w:r w:rsidRPr="00BD00A9">
        <w:rPr>
          <w:rFonts w:ascii="Times New Roman" w:hAnsi="Times New Roman"/>
          <w:noProof/>
          <w:sz w:val="24"/>
          <w:szCs w:val="24"/>
          <w:lang w:val="en-IE"/>
        </w:rPr>
        <w:t xml:space="preserve">Report </w:t>
      </w:r>
      <w:r w:rsidR="007977D7" w:rsidRPr="00BD00A9">
        <w:rPr>
          <w:rFonts w:ascii="Times New Roman" w:hAnsi="Times New Roman"/>
          <w:noProof/>
          <w:sz w:val="24"/>
          <w:szCs w:val="24"/>
          <w:lang w:val="en-IE"/>
        </w:rPr>
        <w:t xml:space="preserve">under </w:t>
      </w:r>
      <w:r w:rsidRPr="00BD00A9">
        <w:rPr>
          <w:rFonts w:ascii="Times New Roman" w:hAnsi="Times New Roman"/>
          <w:noProof/>
          <w:sz w:val="24"/>
          <w:szCs w:val="24"/>
          <w:lang w:val="en-IE"/>
        </w:rPr>
        <w:t xml:space="preserve">Article 25 TFEU, </w:t>
      </w:r>
      <w:r w:rsidR="00B10CE6" w:rsidRPr="00BD00A9">
        <w:rPr>
          <w:rFonts w:ascii="Times New Roman" w:hAnsi="Times New Roman"/>
          <w:noProof/>
          <w:sz w:val="24"/>
          <w:szCs w:val="24"/>
          <w:lang w:val="en-IE"/>
        </w:rPr>
        <w:t xml:space="preserve">in June 2019 </w:t>
      </w:r>
      <w:r w:rsidRPr="00BD00A9">
        <w:rPr>
          <w:rFonts w:ascii="Times New Roman" w:hAnsi="Times New Roman"/>
          <w:noProof/>
          <w:sz w:val="24"/>
          <w:szCs w:val="24"/>
          <w:lang w:val="en-IE"/>
        </w:rPr>
        <w:t>the Council adopted</w:t>
      </w:r>
      <w:r w:rsidR="00B10CE6" w:rsidRPr="00BD00A9">
        <w:rPr>
          <w:rFonts w:ascii="Times New Roman" w:hAnsi="Times New Roman"/>
          <w:noProof/>
          <w:sz w:val="24"/>
          <w:szCs w:val="24"/>
          <w:lang w:val="en-IE"/>
        </w:rPr>
        <w:t xml:space="preserve"> </w:t>
      </w:r>
      <w:r w:rsidRPr="00BD00A9">
        <w:rPr>
          <w:rFonts w:ascii="Times New Roman" w:hAnsi="Times New Roman"/>
          <w:noProof/>
          <w:sz w:val="24"/>
          <w:szCs w:val="24"/>
          <w:lang w:val="en-IE"/>
        </w:rPr>
        <w:t xml:space="preserve">a Directive establishing an </w:t>
      </w:r>
      <w:r w:rsidRPr="00BD00A9">
        <w:rPr>
          <w:rFonts w:ascii="Times New Roman" w:hAnsi="Times New Roman"/>
          <w:b/>
          <w:bCs/>
          <w:noProof/>
          <w:sz w:val="24"/>
          <w:szCs w:val="24"/>
          <w:lang w:val="en-IE"/>
        </w:rPr>
        <w:t>EU Emergency Travel Document</w:t>
      </w:r>
      <w:r w:rsidR="00D22A0B" w:rsidRPr="00BD00A9">
        <w:rPr>
          <w:rStyle w:val="FootnoteReference"/>
          <w:rFonts w:ascii="Times New Roman" w:hAnsi="Times New Roman"/>
          <w:noProof/>
          <w:sz w:val="24"/>
          <w:szCs w:val="24"/>
          <w:lang w:val="en-IE"/>
        </w:rPr>
        <w:footnoteReference w:id="137"/>
      </w:r>
      <w:r w:rsidRPr="00BD00A9">
        <w:rPr>
          <w:rFonts w:ascii="Times New Roman" w:hAnsi="Times New Roman"/>
          <w:noProof/>
          <w:sz w:val="24"/>
          <w:szCs w:val="24"/>
          <w:lang w:val="en-IE"/>
        </w:rPr>
        <w:t xml:space="preserve">. </w:t>
      </w:r>
      <w:r w:rsidR="003F0F21" w:rsidRPr="00BD00A9">
        <w:rPr>
          <w:rFonts w:ascii="Times New Roman" w:hAnsi="Times New Roman"/>
          <w:noProof/>
          <w:sz w:val="24"/>
          <w:szCs w:val="24"/>
          <w:lang w:val="en-IE"/>
        </w:rPr>
        <w:t xml:space="preserve">The Directive </w:t>
      </w:r>
      <w:r w:rsidR="00B10CE6" w:rsidRPr="00BD00A9">
        <w:rPr>
          <w:rFonts w:ascii="Times New Roman" w:hAnsi="Times New Roman"/>
          <w:noProof/>
          <w:sz w:val="24"/>
          <w:szCs w:val="24"/>
          <w:lang w:val="en-IE"/>
        </w:rPr>
        <w:t>introduce</w:t>
      </w:r>
      <w:r w:rsidR="00AD26D2" w:rsidRPr="00BD00A9">
        <w:rPr>
          <w:rFonts w:ascii="Times New Roman" w:hAnsi="Times New Roman"/>
          <w:noProof/>
          <w:sz w:val="24"/>
          <w:szCs w:val="24"/>
          <w:lang w:val="en-IE"/>
        </w:rPr>
        <w:t>d</w:t>
      </w:r>
      <w:r w:rsidR="003F0F21" w:rsidRPr="00BD00A9">
        <w:rPr>
          <w:rFonts w:ascii="Times New Roman" w:hAnsi="Times New Roman"/>
          <w:noProof/>
          <w:sz w:val="24"/>
          <w:szCs w:val="24"/>
          <w:lang w:val="en-IE"/>
        </w:rPr>
        <w:t xml:space="preserve"> a new, more secure EU Emergency Travel Document format and </w:t>
      </w:r>
      <w:r w:rsidRPr="00BD00A9">
        <w:rPr>
          <w:rFonts w:ascii="Times New Roman" w:hAnsi="Times New Roman"/>
          <w:noProof/>
          <w:sz w:val="24"/>
          <w:szCs w:val="24"/>
          <w:lang w:val="en-IE"/>
        </w:rPr>
        <w:t>simplified the formalities for unrepresented EU citizens in non-EU countries whose passport or travel document has been lost, stolen or destroyed. After the adoption of the necessary technical specifications</w:t>
      </w:r>
      <w:r w:rsidR="006D2BA4" w:rsidRPr="00BD00A9">
        <w:rPr>
          <w:rFonts w:ascii="Times New Roman" w:hAnsi="Times New Roman"/>
          <w:noProof/>
          <w:sz w:val="24"/>
          <w:szCs w:val="24"/>
          <w:lang w:val="en-IE"/>
        </w:rPr>
        <w:t xml:space="preserve"> in December 2022</w:t>
      </w:r>
      <w:r w:rsidR="006D2BA4" w:rsidRPr="00BD00A9">
        <w:rPr>
          <w:rStyle w:val="FootnoteReference"/>
          <w:rFonts w:ascii="Times New Roman" w:hAnsi="Times New Roman"/>
          <w:noProof/>
          <w:sz w:val="24"/>
          <w:szCs w:val="24"/>
          <w:lang w:val="en-IE"/>
        </w:rPr>
        <w:footnoteReference w:id="138"/>
      </w:r>
      <w:r w:rsidRPr="00BD00A9">
        <w:rPr>
          <w:rFonts w:ascii="Times New Roman" w:hAnsi="Times New Roman"/>
          <w:noProof/>
          <w:sz w:val="24"/>
          <w:szCs w:val="24"/>
          <w:lang w:val="en-IE"/>
        </w:rPr>
        <w:t>, Member States</w:t>
      </w:r>
      <w:r w:rsidR="006D2BA4" w:rsidRPr="00BD00A9">
        <w:rPr>
          <w:rFonts w:ascii="Times New Roman" w:hAnsi="Times New Roman"/>
          <w:noProof/>
          <w:sz w:val="24"/>
          <w:szCs w:val="24"/>
          <w:lang w:val="en-IE"/>
        </w:rPr>
        <w:t xml:space="preserve"> are currently </w:t>
      </w:r>
      <w:r w:rsidRPr="00BD00A9">
        <w:rPr>
          <w:rFonts w:ascii="Times New Roman" w:hAnsi="Times New Roman"/>
          <w:noProof/>
          <w:sz w:val="24"/>
          <w:szCs w:val="24"/>
          <w:lang w:val="en-IE"/>
        </w:rPr>
        <w:t>transpos</w:t>
      </w:r>
      <w:r w:rsidR="006D2BA4" w:rsidRPr="00BD00A9">
        <w:rPr>
          <w:rFonts w:ascii="Times New Roman" w:hAnsi="Times New Roman"/>
          <w:noProof/>
          <w:sz w:val="24"/>
          <w:szCs w:val="24"/>
          <w:lang w:val="en-IE"/>
        </w:rPr>
        <w:t>ing</w:t>
      </w:r>
      <w:r w:rsidRPr="00BD00A9">
        <w:rPr>
          <w:rFonts w:ascii="Times New Roman" w:hAnsi="Times New Roman"/>
          <w:noProof/>
          <w:sz w:val="24"/>
          <w:szCs w:val="24"/>
          <w:lang w:val="en-IE"/>
        </w:rPr>
        <w:t xml:space="preserve"> the Directive into national law</w:t>
      </w:r>
      <w:r w:rsidR="006D2BA4" w:rsidRPr="00BD00A9">
        <w:rPr>
          <w:rFonts w:ascii="Times New Roman" w:hAnsi="Times New Roman"/>
          <w:noProof/>
          <w:sz w:val="24"/>
          <w:szCs w:val="24"/>
          <w:lang w:val="en-IE"/>
        </w:rPr>
        <w:t xml:space="preserve"> and will apply it as of December 2025</w:t>
      </w:r>
      <w:r w:rsidRPr="00BD00A9">
        <w:rPr>
          <w:rFonts w:ascii="Times New Roman" w:hAnsi="Times New Roman"/>
          <w:noProof/>
          <w:sz w:val="24"/>
          <w:szCs w:val="24"/>
          <w:lang w:val="en-IE"/>
        </w:rPr>
        <w:t xml:space="preserve">. </w:t>
      </w:r>
    </w:p>
    <w:p w14:paraId="3D13A6B1" w14:textId="18B1F202" w:rsidR="00D855E4" w:rsidRPr="00BD00A9" w:rsidRDefault="00D855E4" w:rsidP="00D855E4">
      <w:pPr>
        <w:pStyle w:val="Heading2"/>
      </w:pPr>
      <w:bookmarkStart w:id="80" w:name="_Toc150854728"/>
      <w:bookmarkStart w:id="81" w:name="_Toc152502509"/>
      <w:r w:rsidRPr="00BD00A9">
        <w:t>Case</w:t>
      </w:r>
      <w:r w:rsidR="00904724" w:rsidRPr="00BD00A9">
        <w:t xml:space="preserve"> </w:t>
      </w:r>
      <w:r w:rsidRPr="00BD00A9">
        <w:t>law developments</w:t>
      </w:r>
      <w:bookmarkEnd w:id="80"/>
      <w:bookmarkEnd w:id="81"/>
    </w:p>
    <w:p w14:paraId="7B78CDC9" w14:textId="4996C95D" w:rsidR="004B65F5" w:rsidRPr="00BD00A9" w:rsidRDefault="004B65F5" w:rsidP="004B65F5">
      <w:pPr>
        <w:spacing w:after="240" w:line="276" w:lineRule="auto"/>
        <w:jc w:val="both"/>
        <w:rPr>
          <w:rFonts w:ascii="Times New Roman" w:eastAsiaTheme="minorEastAsia" w:hAnsi="Times New Roman"/>
          <w:noProof/>
          <w:sz w:val="24"/>
          <w:szCs w:val="24"/>
          <w:lang w:val="en-IE" w:eastAsia="zh-CN"/>
        </w:rPr>
      </w:pPr>
      <w:r w:rsidRPr="00BD00A9">
        <w:rPr>
          <w:rFonts w:ascii="Times New Roman" w:eastAsiaTheme="minorEastAsia" w:hAnsi="Times New Roman"/>
          <w:noProof/>
          <w:sz w:val="24"/>
          <w:szCs w:val="24"/>
          <w:lang w:val="en-IE" w:eastAsia="zh-CN"/>
        </w:rPr>
        <w:t xml:space="preserve">No </w:t>
      </w:r>
      <w:r w:rsidR="00AD26D2" w:rsidRPr="00BD00A9">
        <w:rPr>
          <w:rFonts w:ascii="Times New Roman" w:eastAsiaTheme="minorEastAsia" w:hAnsi="Times New Roman"/>
          <w:noProof/>
          <w:sz w:val="24"/>
          <w:szCs w:val="24"/>
          <w:lang w:val="en-IE" w:eastAsia="zh-CN"/>
        </w:rPr>
        <w:t>major</w:t>
      </w:r>
      <w:r w:rsidR="000E2D33" w:rsidRPr="00BD00A9">
        <w:rPr>
          <w:rFonts w:ascii="Times New Roman" w:eastAsiaTheme="minorEastAsia" w:hAnsi="Times New Roman"/>
          <w:noProof/>
          <w:sz w:val="24"/>
          <w:szCs w:val="24"/>
          <w:lang w:val="en-IE" w:eastAsia="zh-CN"/>
        </w:rPr>
        <w:t xml:space="preserve"> </w:t>
      </w:r>
      <w:r w:rsidRPr="00BD00A9">
        <w:rPr>
          <w:rFonts w:ascii="Times New Roman" w:eastAsiaTheme="minorEastAsia" w:hAnsi="Times New Roman"/>
          <w:noProof/>
          <w:sz w:val="24"/>
          <w:szCs w:val="24"/>
          <w:lang w:val="en-IE" w:eastAsia="zh-CN"/>
        </w:rPr>
        <w:t xml:space="preserve">decisions on this subject </w:t>
      </w:r>
      <w:r w:rsidR="00AD26D2" w:rsidRPr="00BD00A9">
        <w:rPr>
          <w:rFonts w:ascii="Times New Roman" w:eastAsiaTheme="minorEastAsia" w:hAnsi="Times New Roman"/>
          <w:noProof/>
          <w:sz w:val="24"/>
          <w:szCs w:val="24"/>
          <w:lang w:val="en-IE" w:eastAsia="zh-CN"/>
        </w:rPr>
        <w:t>were</w:t>
      </w:r>
      <w:r w:rsidRPr="00BD00A9">
        <w:rPr>
          <w:rFonts w:ascii="Times New Roman" w:eastAsiaTheme="minorEastAsia" w:hAnsi="Times New Roman"/>
          <w:noProof/>
          <w:sz w:val="24"/>
          <w:szCs w:val="24"/>
          <w:lang w:val="en-IE" w:eastAsia="zh-CN"/>
        </w:rPr>
        <w:t xml:space="preserve"> issued during the reporting period.</w:t>
      </w:r>
    </w:p>
    <w:p w14:paraId="08737E67" w14:textId="38B7D837" w:rsidR="00D855E4" w:rsidRPr="00BD00A9" w:rsidRDefault="00D855E4" w:rsidP="00D855E4">
      <w:pPr>
        <w:pStyle w:val="Heading1"/>
      </w:pPr>
      <w:bookmarkStart w:id="82" w:name="_Toc150854729"/>
      <w:bookmarkStart w:id="83" w:name="_Toc152502510"/>
      <w:r w:rsidRPr="00BD00A9">
        <w:t>Right to petition the European Parliament and to address the European Ombudsman (Articles 20(2)(d) and 24(2), (3) and (4) TFEU)</w:t>
      </w:r>
      <w:bookmarkEnd w:id="82"/>
      <w:bookmarkEnd w:id="83"/>
    </w:p>
    <w:p w14:paraId="51D37A3A" w14:textId="2FDD9CEC" w:rsidR="008937FD" w:rsidRPr="00BD00A9" w:rsidRDefault="008937FD" w:rsidP="00D855E4">
      <w:pPr>
        <w:pStyle w:val="Heading2"/>
      </w:pPr>
      <w:bookmarkStart w:id="84" w:name="_Toc150854730"/>
      <w:bookmarkStart w:id="85" w:name="_Toc152502511"/>
      <w:r w:rsidRPr="00BD00A9">
        <w:t>Introduction</w:t>
      </w:r>
      <w:bookmarkEnd w:id="84"/>
      <w:bookmarkEnd w:id="85"/>
    </w:p>
    <w:p w14:paraId="0A1D2E03" w14:textId="2AEC4415" w:rsidR="008937FD" w:rsidRPr="00BD00A9" w:rsidRDefault="008937FD" w:rsidP="008937FD">
      <w:pPr>
        <w:spacing w:line="276" w:lineRule="auto"/>
        <w:jc w:val="both"/>
        <w:rPr>
          <w:rFonts w:ascii="Times New Roman" w:hAnsi="Times New Roman"/>
          <w:noProof/>
          <w:sz w:val="24"/>
          <w:szCs w:val="24"/>
          <w:lang w:val="en-IE"/>
        </w:rPr>
      </w:pPr>
      <w:r w:rsidRPr="00BD00A9">
        <w:rPr>
          <w:rFonts w:ascii="Times New Roman" w:hAnsi="Times New Roman"/>
          <w:noProof/>
          <w:sz w:val="24"/>
          <w:szCs w:val="24"/>
          <w:lang w:val="en-IE"/>
        </w:rPr>
        <w:t xml:space="preserve">Articles 20(2)(d) and 24(2), (3) and (4) TFEU refer to rights entitling EU citizens to address the EU institutions, including the right to petition the European Parliament and the right to address the European Ombudsman. Every EU citizen is entitled to write to any of the institutions, bodies, offices or agencies in </w:t>
      </w:r>
      <w:r w:rsidR="00AD26D2" w:rsidRPr="00BD00A9">
        <w:rPr>
          <w:rFonts w:ascii="Times New Roman" w:hAnsi="Times New Roman"/>
          <w:noProof/>
          <w:sz w:val="24"/>
          <w:szCs w:val="24"/>
          <w:lang w:val="en-IE"/>
        </w:rPr>
        <w:t>any</w:t>
      </w:r>
      <w:r w:rsidRPr="00BD00A9">
        <w:rPr>
          <w:rFonts w:ascii="Times New Roman" w:hAnsi="Times New Roman"/>
          <w:noProof/>
          <w:sz w:val="24"/>
          <w:szCs w:val="24"/>
          <w:lang w:val="en-IE"/>
        </w:rPr>
        <w:t xml:space="preserve"> of the EU’s official languages</w:t>
      </w:r>
      <w:r w:rsidRPr="00BD00A9">
        <w:rPr>
          <w:rStyle w:val="FootnoteReference"/>
          <w:rFonts w:ascii="Times New Roman" w:hAnsi="Times New Roman"/>
          <w:noProof/>
          <w:sz w:val="24"/>
          <w:szCs w:val="24"/>
          <w:lang w:val="en-IE"/>
        </w:rPr>
        <w:footnoteReference w:id="139"/>
      </w:r>
      <w:r w:rsidRPr="00BD00A9">
        <w:rPr>
          <w:rFonts w:ascii="Times New Roman" w:hAnsi="Times New Roman"/>
          <w:noProof/>
          <w:sz w:val="24"/>
          <w:szCs w:val="24"/>
          <w:lang w:val="en-IE"/>
        </w:rPr>
        <w:t xml:space="preserve">, and </w:t>
      </w:r>
      <w:r w:rsidR="00AD26D2" w:rsidRPr="00BD00A9">
        <w:rPr>
          <w:rFonts w:ascii="Times New Roman" w:hAnsi="Times New Roman"/>
          <w:noProof/>
          <w:sz w:val="24"/>
          <w:szCs w:val="24"/>
          <w:lang w:val="en-IE"/>
        </w:rPr>
        <w:t xml:space="preserve">to </w:t>
      </w:r>
      <w:r w:rsidRPr="00BD00A9">
        <w:rPr>
          <w:rFonts w:ascii="Times New Roman" w:hAnsi="Times New Roman"/>
          <w:noProof/>
          <w:sz w:val="24"/>
          <w:szCs w:val="24"/>
          <w:lang w:val="en-IE"/>
        </w:rPr>
        <w:t>receive an answer in the same language.</w:t>
      </w:r>
    </w:p>
    <w:p w14:paraId="3163D58E" w14:textId="2B4A6D9D" w:rsidR="008937FD" w:rsidRPr="00BD00A9" w:rsidRDefault="008937FD" w:rsidP="008C1F41">
      <w:pPr>
        <w:spacing w:line="276" w:lineRule="auto"/>
        <w:jc w:val="both"/>
        <w:rPr>
          <w:rFonts w:ascii="Times New Roman" w:hAnsi="Times New Roman"/>
          <w:noProof/>
          <w:sz w:val="24"/>
          <w:szCs w:val="24"/>
          <w:lang w:val="en-IE"/>
        </w:rPr>
      </w:pPr>
      <w:r w:rsidRPr="00BD00A9">
        <w:rPr>
          <w:rFonts w:ascii="Times New Roman" w:hAnsi="Times New Roman"/>
          <w:noProof/>
          <w:sz w:val="24"/>
          <w:szCs w:val="24"/>
          <w:lang w:val="en-IE"/>
        </w:rPr>
        <w:t xml:space="preserve">According to the 2023 Eurobarometer on </w:t>
      </w:r>
      <w:r w:rsidR="00AD26D2" w:rsidRPr="00BD00A9">
        <w:rPr>
          <w:rFonts w:ascii="Times New Roman" w:hAnsi="Times New Roman"/>
          <w:noProof/>
          <w:sz w:val="24"/>
          <w:szCs w:val="24"/>
          <w:lang w:val="en-IE"/>
        </w:rPr>
        <w:t>c</w:t>
      </w:r>
      <w:r w:rsidRPr="00BD00A9">
        <w:rPr>
          <w:rFonts w:ascii="Times New Roman" w:hAnsi="Times New Roman"/>
          <w:noProof/>
          <w:sz w:val="24"/>
          <w:szCs w:val="24"/>
          <w:lang w:val="en-IE"/>
        </w:rPr>
        <w:t xml:space="preserve">itizenship and </w:t>
      </w:r>
      <w:r w:rsidR="00AD26D2" w:rsidRPr="00BD00A9">
        <w:rPr>
          <w:rFonts w:ascii="Times New Roman" w:hAnsi="Times New Roman"/>
          <w:noProof/>
          <w:sz w:val="24"/>
          <w:szCs w:val="24"/>
          <w:lang w:val="en-IE"/>
        </w:rPr>
        <w:t>d</w:t>
      </w:r>
      <w:r w:rsidRPr="00BD00A9">
        <w:rPr>
          <w:rFonts w:ascii="Times New Roman" w:hAnsi="Times New Roman"/>
          <w:noProof/>
          <w:sz w:val="24"/>
          <w:szCs w:val="24"/>
          <w:lang w:val="en-IE"/>
        </w:rPr>
        <w:t xml:space="preserve">emocracy, 84% of EU citizens are aware that they have the right to make a complaint to the European Commission, the European Parliament or the European Ombudsman. </w:t>
      </w:r>
    </w:p>
    <w:p w14:paraId="1D73B2EA" w14:textId="1E6C6D95" w:rsidR="00D855E4" w:rsidRPr="00BD00A9" w:rsidRDefault="00164EC8" w:rsidP="00D855E4">
      <w:pPr>
        <w:pStyle w:val="Heading2"/>
      </w:pPr>
      <w:bookmarkStart w:id="86" w:name="_Toc150854731"/>
      <w:bookmarkStart w:id="87" w:name="_Toc152502512"/>
      <w:r w:rsidRPr="00BD00A9">
        <w:t>Right to petition the European Parliament</w:t>
      </w:r>
      <w:bookmarkEnd w:id="86"/>
      <w:bookmarkEnd w:id="87"/>
    </w:p>
    <w:p w14:paraId="1B2793D2" w14:textId="615BFB85" w:rsidR="004F17FE" w:rsidRPr="00BD00A9" w:rsidRDefault="00164EC8" w:rsidP="00164EC8">
      <w:pPr>
        <w:spacing w:line="276" w:lineRule="auto"/>
        <w:jc w:val="both"/>
        <w:rPr>
          <w:rFonts w:ascii="Times New Roman" w:hAnsi="Times New Roman"/>
          <w:noProof/>
          <w:sz w:val="24"/>
          <w:szCs w:val="24"/>
          <w:lang w:val="en-IE"/>
        </w:rPr>
      </w:pPr>
      <w:r w:rsidRPr="00BD00A9">
        <w:rPr>
          <w:rFonts w:ascii="Times New Roman" w:hAnsi="Times New Roman"/>
          <w:noProof/>
          <w:sz w:val="24"/>
          <w:szCs w:val="24"/>
          <w:lang w:val="en-IE"/>
        </w:rPr>
        <w:t>Under Article 24(2)</w:t>
      </w:r>
      <w:r w:rsidR="00C04514" w:rsidRPr="00BD00A9">
        <w:rPr>
          <w:rFonts w:ascii="Times New Roman" w:hAnsi="Times New Roman"/>
          <w:noProof/>
          <w:sz w:val="24"/>
          <w:szCs w:val="24"/>
          <w:lang w:val="en-IE"/>
        </w:rPr>
        <w:t xml:space="preserve"> and 227</w:t>
      </w:r>
      <w:r w:rsidRPr="00BD00A9">
        <w:rPr>
          <w:rFonts w:ascii="Times New Roman" w:hAnsi="Times New Roman"/>
          <w:noProof/>
          <w:sz w:val="24"/>
          <w:szCs w:val="24"/>
          <w:lang w:val="en-IE"/>
        </w:rPr>
        <w:t xml:space="preserve"> TFEU, </w:t>
      </w:r>
      <w:r w:rsidR="00C04514" w:rsidRPr="00BD00A9">
        <w:rPr>
          <w:rFonts w:ascii="Times New Roman" w:hAnsi="Times New Roman"/>
          <w:noProof/>
          <w:sz w:val="24"/>
          <w:szCs w:val="24"/>
          <w:lang w:val="en-IE"/>
        </w:rPr>
        <w:t xml:space="preserve">any </w:t>
      </w:r>
      <w:r w:rsidRPr="00BD00A9">
        <w:rPr>
          <w:rFonts w:ascii="Times New Roman" w:hAnsi="Times New Roman"/>
          <w:noProof/>
          <w:sz w:val="24"/>
          <w:szCs w:val="24"/>
          <w:lang w:val="en-IE"/>
        </w:rPr>
        <w:t>EU citizen</w:t>
      </w:r>
      <w:r w:rsidR="00C04514" w:rsidRPr="00BD00A9">
        <w:rPr>
          <w:rFonts w:ascii="Times New Roman" w:hAnsi="Times New Roman"/>
          <w:noProof/>
          <w:sz w:val="24"/>
          <w:szCs w:val="24"/>
          <w:lang w:val="en-IE"/>
        </w:rPr>
        <w:t xml:space="preserve"> and any natural or legal person residing or having its registered office in a Member State</w:t>
      </w:r>
      <w:r w:rsidRPr="00BD00A9">
        <w:rPr>
          <w:rFonts w:ascii="Times New Roman" w:hAnsi="Times New Roman"/>
          <w:noProof/>
          <w:sz w:val="24"/>
          <w:szCs w:val="24"/>
          <w:lang w:val="en-IE"/>
        </w:rPr>
        <w:t xml:space="preserve"> ha</w:t>
      </w:r>
      <w:r w:rsidR="00AD26D2" w:rsidRPr="00BD00A9">
        <w:rPr>
          <w:rFonts w:ascii="Times New Roman" w:hAnsi="Times New Roman"/>
          <w:noProof/>
          <w:sz w:val="24"/>
          <w:szCs w:val="24"/>
          <w:lang w:val="en-IE"/>
        </w:rPr>
        <w:t>s</w:t>
      </w:r>
      <w:r w:rsidRPr="00BD00A9">
        <w:rPr>
          <w:rFonts w:ascii="Times New Roman" w:hAnsi="Times New Roman"/>
          <w:noProof/>
          <w:sz w:val="24"/>
          <w:szCs w:val="24"/>
          <w:lang w:val="en-IE"/>
        </w:rPr>
        <w:t xml:space="preserve"> the right to petition to the European Parliament, in any </w:t>
      </w:r>
      <w:r w:rsidR="00D4044E" w:rsidRPr="00BD00A9">
        <w:rPr>
          <w:rFonts w:ascii="Times New Roman" w:hAnsi="Times New Roman"/>
          <w:noProof/>
          <w:sz w:val="24"/>
          <w:szCs w:val="24"/>
          <w:lang w:val="en-IE"/>
        </w:rPr>
        <w:t xml:space="preserve">of the EU’s official </w:t>
      </w:r>
      <w:r w:rsidRPr="00BD00A9">
        <w:rPr>
          <w:rFonts w:ascii="Times New Roman" w:hAnsi="Times New Roman"/>
          <w:noProof/>
          <w:sz w:val="24"/>
          <w:szCs w:val="24"/>
          <w:lang w:val="en-IE"/>
        </w:rPr>
        <w:t>language</w:t>
      </w:r>
      <w:r w:rsidR="00D4044E" w:rsidRPr="00BD00A9">
        <w:rPr>
          <w:rFonts w:ascii="Times New Roman" w:hAnsi="Times New Roman"/>
          <w:noProof/>
          <w:sz w:val="24"/>
          <w:szCs w:val="24"/>
          <w:lang w:val="en-IE"/>
        </w:rPr>
        <w:t>s</w:t>
      </w:r>
      <w:r w:rsidRPr="00BD00A9">
        <w:rPr>
          <w:rFonts w:ascii="Times New Roman" w:hAnsi="Times New Roman"/>
          <w:noProof/>
          <w:sz w:val="24"/>
          <w:szCs w:val="24"/>
          <w:lang w:val="en-IE"/>
        </w:rPr>
        <w:t xml:space="preserve">, on EU matters that affect them and to receive a reply in the same language. </w:t>
      </w:r>
      <w:r w:rsidR="004F17FE" w:rsidRPr="00BD00A9">
        <w:rPr>
          <w:rFonts w:ascii="Times New Roman" w:hAnsi="Times New Roman"/>
          <w:noProof/>
          <w:sz w:val="24"/>
          <w:szCs w:val="24"/>
          <w:lang w:val="en-IE"/>
        </w:rPr>
        <w:t xml:space="preserve">In order to be admissible, petitions must concern matters which fall within the EU’s fields of activity and which affect the petitioners directly. </w:t>
      </w:r>
    </w:p>
    <w:p w14:paraId="07909F97" w14:textId="545F016F" w:rsidR="009C6034" w:rsidRPr="00BD00A9" w:rsidRDefault="00164EC8" w:rsidP="00164EC8">
      <w:pPr>
        <w:spacing w:line="276" w:lineRule="auto"/>
        <w:jc w:val="both"/>
        <w:rPr>
          <w:rFonts w:ascii="Times New Roman" w:hAnsi="Times New Roman"/>
          <w:noProof/>
          <w:sz w:val="24"/>
          <w:szCs w:val="24"/>
          <w:lang w:val="en-IE"/>
        </w:rPr>
      </w:pPr>
      <w:r w:rsidRPr="00BD00A9">
        <w:rPr>
          <w:rFonts w:ascii="Times New Roman" w:hAnsi="Times New Roman"/>
          <w:noProof/>
          <w:sz w:val="24"/>
          <w:szCs w:val="24"/>
          <w:lang w:val="en-IE"/>
        </w:rPr>
        <w:t>In 202</w:t>
      </w:r>
      <w:r w:rsidR="004F17FE" w:rsidRPr="00BD00A9">
        <w:rPr>
          <w:rFonts w:ascii="Times New Roman" w:hAnsi="Times New Roman"/>
          <w:noProof/>
          <w:sz w:val="24"/>
          <w:szCs w:val="24"/>
          <w:lang w:val="en-IE"/>
        </w:rPr>
        <w:t>1</w:t>
      </w:r>
      <w:r w:rsidR="00D56E8A" w:rsidRPr="00BD00A9">
        <w:rPr>
          <w:rStyle w:val="FootnoteReference"/>
          <w:rFonts w:ascii="Times New Roman" w:hAnsi="Times New Roman"/>
          <w:noProof/>
          <w:sz w:val="24"/>
          <w:szCs w:val="24"/>
          <w:lang w:val="en-IE"/>
        </w:rPr>
        <w:footnoteReference w:id="140"/>
      </w:r>
      <w:r w:rsidR="004F17FE" w:rsidRPr="00BD00A9">
        <w:rPr>
          <w:rFonts w:ascii="Times New Roman" w:hAnsi="Times New Roman"/>
          <w:noProof/>
          <w:sz w:val="24"/>
          <w:szCs w:val="24"/>
          <w:lang w:val="en-IE"/>
        </w:rPr>
        <w:t>,</w:t>
      </w:r>
      <w:r w:rsidRPr="00BD00A9">
        <w:rPr>
          <w:rFonts w:ascii="Times New Roman" w:hAnsi="Times New Roman"/>
          <w:noProof/>
          <w:sz w:val="24"/>
          <w:szCs w:val="24"/>
          <w:lang w:val="en-IE"/>
        </w:rPr>
        <w:t xml:space="preserve"> the European Parliament Committee on Petitions received </w:t>
      </w:r>
      <w:r w:rsidR="004F17FE" w:rsidRPr="00BD00A9">
        <w:rPr>
          <w:rFonts w:ascii="Times New Roman" w:hAnsi="Times New Roman"/>
          <w:noProof/>
          <w:sz w:val="24"/>
          <w:szCs w:val="24"/>
          <w:lang w:val="en-IE"/>
        </w:rPr>
        <w:t>1</w:t>
      </w:r>
      <w:r w:rsidR="006C65ED" w:rsidRPr="00BD00A9">
        <w:rPr>
          <w:rFonts w:ascii="Times New Roman" w:hAnsi="Times New Roman"/>
          <w:noProof/>
          <w:sz w:val="24"/>
          <w:szCs w:val="24"/>
          <w:lang w:val="en-IE"/>
        </w:rPr>
        <w:t xml:space="preserve"> </w:t>
      </w:r>
      <w:r w:rsidR="004F17FE" w:rsidRPr="00BD00A9">
        <w:rPr>
          <w:rFonts w:ascii="Times New Roman" w:hAnsi="Times New Roman"/>
          <w:noProof/>
          <w:sz w:val="24"/>
          <w:szCs w:val="24"/>
          <w:lang w:val="en-IE"/>
        </w:rPr>
        <w:t>392</w:t>
      </w:r>
      <w:r w:rsidRPr="00BD00A9">
        <w:rPr>
          <w:rFonts w:ascii="Times New Roman" w:hAnsi="Times New Roman"/>
          <w:noProof/>
          <w:sz w:val="24"/>
          <w:szCs w:val="24"/>
          <w:lang w:val="en-IE"/>
        </w:rPr>
        <w:t xml:space="preserve"> petitions, </w:t>
      </w:r>
      <w:r w:rsidR="004F17FE" w:rsidRPr="00BD00A9">
        <w:rPr>
          <w:rFonts w:ascii="Times New Roman" w:hAnsi="Times New Roman"/>
          <w:noProof/>
          <w:sz w:val="24"/>
          <w:szCs w:val="24"/>
          <w:lang w:val="en-IE"/>
        </w:rPr>
        <w:t xml:space="preserve">around half of the number received in 2013 (2 891) and 2014 (2 715), when the total number of petitions received reached its peak. The number of petitions submitted in 2021 also represents a decrease of 11.5 % compared to the 1 573 petitions submitted in 2020 </w:t>
      </w:r>
      <w:r w:rsidR="00AD26D2" w:rsidRPr="00BD00A9">
        <w:rPr>
          <w:rFonts w:ascii="Times New Roman" w:hAnsi="Times New Roman"/>
          <w:noProof/>
          <w:sz w:val="24"/>
          <w:szCs w:val="24"/>
          <w:lang w:val="en-IE"/>
        </w:rPr>
        <w:t>but</w:t>
      </w:r>
      <w:r w:rsidR="004F17FE" w:rsidRPr="00BD00A9">
        <w:rPr>
          <w:rFonts w:ascii="Times New Roman" w:hAnsi="Times New Roman"/>
          <w:noProof/>
          <w:sz w:val="24"/>
          <w:szCs w:val="24"/>
          <w:lang w:val="en-IE"/>
        </w:rPr>
        <w:t xml:space="preserve"> a slight increase of 2.5 % compared to the 1 357 petitions submitted in 2019.</w:t>
      </w:r>
      <w:r w:rsidR="009C6034" w:rsidRPr="00BD00A9">
        <w:rPr>
          <w:rFonts w:ascii="Times New Roman" w:hAnsi="Times New Roman"/>
          <w:noProof/>
          <w:sz w:val="24"/>
          <w:szCs w:val="24"/>
          <w:lang w:val="en-IE"/>
        </w:rPr>
        <w:t xml:space="preserve"> Of the petitions submitted in 2021, 368 were declared inadmissible and 17 were withdrawn. The Committee on Petitions held 12 committee meetings, at which 159 petitions were discussed with 113 petitioners present remotely</w:t>
      </w:r>
      <w:r w:rsidR="009C6034" w:rsidRPr="00BD00A9">
        <w:rPr>
          <w:rStyle w:val="FootnoteReference"/>
          <w:rFonts w:ascii="Times New Roman" w:hAnsi="Times New Roman"/>
          <w:noProof/>
          <w:sz w:val="24"/>
          <w:szCs w:val="24"/>
          <w:lang w:val="en-IE"/>
        </w:rPr>
        <w:footnoteReference w:id="141"/>
      </w:r>
      <w:r w:rsidR="009C6034" w:rsidRPr="00BD00A9">
        <w:rPr>
          <w:rFonts w:ascii="Times New Roman" w:hAnsi="Times New Roman"/>
          <w:noProof/>
          <w:sz w:val="24"/>
          <w:szCs w:val="24"/>
          <w:lang w:val="en-IE"/>
        </w:rPr>
        <w:t>.</w:t>
      </w:r>
    </w:p>
    <w:p w14:paraId="237E07BD" w14:textId="02894993" w:rsidR="009C6034" w:rsidRPr="00BD00A9" w:rsidRDefault="00AD26D2" w:rsidP="00164EC8">
      <w:pPr>
        <w:spacing w:line="276" w:lineRule="auto"/>
        <w:jc w:val="both"/>
        <w:rPr>
          <w:rFonts w:ascii="Times New Roman" w:hAnsi="Times New Roman"/>
          <w:noProof/>
          <w:sz w:val="24"/>
          <w:szCs w:val="24"/>
          <w:lang w:val="en-IE"/>
        </w:rPr>
      </w:pPr>
      <w:r w:rsidRPr="00BD00A9">
        <w:rPr>
          <w:rFonts w:ascii="Times New Roman" w:hAnsi="Times New Roman"/>
          <w:noProof/>
          <w:sz w:val="24"/>
          <w:szCs w:val="24"/>
          <w:lang w:val="en-IE"/>
        </w:rPr>
        <w:t>O</w:t>
      </w:r>
      <w:r w:rsidR="009C6034" w:rsidRPr="00BD00A9">
        <w:rPr>
          <w:rFonts w:ascii="Times New Roman" w:hAnsi="Times New Roman"/>
          <w:noProof/>
          <w:sz w:val="24"/>
          <w:szCs w:val="24"/>
          <w:lang w:val="en-IE"/>
        </w:rPr>
        <w:t>f the petitions received in 2021</w:t>
      </w:r>
      <w:r w:rsidRPr="00BD00A9">
        <w:rPr>
          <w:rFonts w:ascii="Times New Roman" w:hAnsi="Times New Roman"/>
          <w:noProof/>
          <w:sz w:val="24"/>
          <w:szCs w:val="24"/>
          <w:lang w:val="en-IE"/>
        </w:rPr>
        <w:t xml:space="preserve">, 78.6% </w:t>
      </w:r>
      <w:r w:rsidR="009C6034" w:rsidRPr="00BD00A9">
        <w:rPr>
          <w:rFonts w:ascii="Times New Roman" w:hAnsi="Times New Roman"/>
          <w:noProof/>
          <w:sz w:val="24"/>
          <w:szCs w:val="24"/>
          <w:lang w:val="en-IE"/>
        </w:rPr>
        <w:t xml:space="preserve"> were submitted via </w:t>
      </w:r>
      <w:r w:rsidRPr="00BD00A9">
        <w:rPr>
          <w:rFonts w:ascii="Times New Roman" w:hAnsi="Times New Roman"/>
          <w:noProof/>
          <w:sz w:val="24"/>
          <w:szCs w:val="24"/>
          <w:lang w:val="en-IE"/>
        </w:rPr>
        <w:t xml:space="preserve">the European </w:t>
      </w:r>
      <w:r w:rsidR="009C6034" w:rsidRPr="00BD00A9">
        <w:rPr>
          <w:rFonts w:ascii="Times New Roman" w:hAnsi="Times New Roman"/>
          <w:noProof/>
          <w:sz w:val="24"/>
          <w:szCs w:val="24"/>
          <w:lang w:val="en-IE"/>
        </w:rPr>
        <w:t xml:space="preserve">Parliament’s Petitions Web Portal. The number of users supporting one or more petitions on this portal was 209 272, a very </w:t>
      </w:r>
      <w:r w:rsidRPr="00BD00A9">
        <w:rPr>
          <w:rFonts w:ascii="Times New Roman" w:hAnsi="Times New Roman"/>
          <w:noProof/>
          <w:sz w:val="24"/>
          <w:szCs w:val="24"/>
          <w:lang w:val="en-IE"/>
        </w:rPr>
        <w:t>sizeable</w:t>
      </w:r>
      <w:r w:rsidR="009C6034" w:rsidRPr="00BD00A9">
        <w:rPr>
          <w:rFonts w:ascii="Times New Roman" w:hAnsi="Times New Roman"/>
          <w:noProof/>
          <w:sz w:val="24"/>
          <w:szCs w:val="24"/>
          <w:lang w:val="en-IE"/>
        </w:rPr>
        <w:t xml:space="preserve"> increase from the 48 882 users recorded in 2020</w:t>
      </w:r>
      <w:r w:rsidR="009C6034" w:rsidRPr="00BD00A9">
        <w:rPr>
          <w:rStyle w:val="FootnoteReference"/>
          <w:rFonts w:ascii="Times New Roman" w:hAnsi="Times New Roman"/>
          <w:noProof/>
          <w:sz w:val="24"/>
          <w:szCs w:val="24"/>
          <w:lang w:val="en-IE"/>
        </w:rPr>
        <w:footnoteReference w:id="142"/>
      </w:r>
      <w:r w:rsidR="009C6034" w:rsidRPr="00BD00A9">
        <w:rPr>
          <w:rFonts w:ascii="Times New Roman" w:hAnsi="Times New Roman"/>
          <w:noProof/>
          <w:sz w:val="24"/>
          <w:szCs w:val="24"/>
          <w:lang w:val="en-IE"/>
        </w:rPr>
        <w:t xml:space="preserve">. </w:t>
      </w:r>
    </w:p>
    <w:p w14:paraId="55092ABD" w14:textId="706B72A2" w:rsidR="009C6034" w:rsidRPr="00BD00A9" w:rsidRDefault="00AD26D2" w:rsidP="00164EC8">
      <w:pPr>
        <w:spacing w:line="276" w:lineRule="auto"/>
        <w:jc w:val="both"/>
        <w:rPr>
          <w:rFonts w:ascii="Times New Roman" w:hAnsi="Times New Roman"/>
          <w:i/>
          <w:iCs/>
          <w:noProof/>
          <w:sz w:val="24"/>
          <w:szCs w:val="24"/>
          <w:lang w:val="en-IE"/>
        </w:rPr>
      </w:pPr>
      <w:r w:rsidRPr="00BD00A9">
        <w:rPr>
          <w:rFonts w:ascii="Times New Roman" w:hAnsi="Times New Roman"/>
          <w:noProof/>
          <w:sz w:val="24"/>
          <w:szCs w:val="24"/>
          <w:lang w:val="en-IE"/>
        </w:rPr>
        <w:t>As in previous years, t</w:t>
      </w:r>
      <w:r w:rsidR="006812CE" w:rsidRPr="00BD00A9">
        <w:rPr>
          <w:rFonts w:ascii="Times New Roman" w:hAnsi="Times New Roman"/>
          <w:noProof/>
          <w:sz w:val="24"/>
          <w:szCs w:val="24"/>
          <w:lang w:val="en-IE"/>
        </w:rPr>
        <w:t xml:space="preserve">he main subjects </w:t>
      </w:r>
      <w:r w:rsidRPr="00BD00A9">
        <w:rPr>
          <w:rFonts w:ascii="Times New Roman" w:hAnsi="Times New Roman"/>
          <w:noProof/>
          <w:sz w:val="24"/>
          <w:szCs w:val="24"/>
          <w:lang w:val="en-IE"/>
        </w:rPr>
        <w:t>for</w:t>
      </w:r>
      <w:r w:rsidR="006812CE" w:rsidRPr="00BD00A9">
        <w:rPr>
          <w:rFonts w:ascii="Times New Roman" w:hAnsi="Times New Roman"/>
          <w:noProof/>
          <w:sz w:val="24"/>
          <w:szCs w:val="24"/>
          <w:lang w:val="en-IE"/>
        </w:rPr>
        <w:t xml:space="preserve"> petitions </w:t>
      </w:r>
      <w:r w:rsidRPr="00BD00A9">
        <w:rPr>
          <w:rFonts w:ascii="Times New Roman" w:hAnsi="Times New Roman"/>
          <w:noProof/>
          <w:sz w:val="24"/>
          <w:szCs w:val="24"/>
          <w:lang w:val="en-IE"/>
        </w:rPr>
        <w:t>were the</w:t>
      </w:r>
      <w:r w:rsidR="006812CE" w:rsidRPr="00BD00A9">
        <w:rPr>
          <w:rFonts w:ascii="Times New Roman" w:hAnsi="Times New Roman"/>
          <w:noProof/>
          <w:sz w:val="24"/>
          <w:szCs w:val="24"/>
          <w:lang w:val="en-IE"/>
        </w:rPr>
        <w:t xml:space="preserve"> environment </w:t>
      </w:r>
      <w:r w:rsidRPr="00BD00A9">
        <w:rPr>
          <w:rFonts w:ascii="Times New Roman" w:hAnsi="Times New Roman"/>
          <w:noProof/>
          <w:sz w:val="24"/>
          <w:szCs w:val="24"/>
          <w:lang w:val="en-IE"/>
        </w:rPr>
        <w:t xml:space="preserve">(biodiversity and nature) </w:t>
      </w:r>
      <w:r w:rsidR="006812CE" w:rsidRPr="00BD00A9">
        <w:rPr>
          <w:rFonts w:ascii="Times New Roman" w:hAnsi="Times New Roman"/>
          <w:noProof/>
          <w:sz w:val="24"/>
          <w:szCs w:val="24"/>
          <w:lang w:val="en-IE"/>
        </w:rPr>
        <w:t xml:space="preserve">and health. </w:t>
      </w:r>
      <w:r w:rsidRPr="00BD00A9">
        <w:rPr>
          <w:rFonts w:ascii="Times New Roman" w:hAnsi="Times New Roman"/>
          <w:noProof/>
          <w:sz w:val="24"/>
          <w:szCs w:val="24"/>
          <w:lang w:val="en-IE"/>
        </w:rPr>
        <w:t>Among the</w:t>
      </w:r>
      <w:r w:rsidR="006812CE" w:rsidRPr="00BD00A9">
        <w:rPr>
          <w:rFonts w:ascii="Times New Roman" w:hAnsi="Times New Roman"/>
          <w:noProof/>
          <w:sz w:val="24"/>
          <w:szCs w:val="24"/>
          <w:lang w:val="en-IE"/>
        </w:rPr>
        <w:t xml:space="preserve"> health</w:t>
      </w:r>
      <w:r w:rsidRPr="00BD00A9">
        <w:rPr>
          <w:rFonts w:ascii="Times New Roman" w:hAnsi="Times New Roman"/>
          <w:noProof/>
          <w:sz w:val="24"/>
          <w:szCs w:val="24"/>
          <w:lang w:val="en-IE"/>
        </w:rPr>
        <w:t>-related petitions</w:t>
      </w:r>
      <w:r w:rsidR="006812CE" w:rsidRPr="00BD00A9">
        <w:rPr>
          <w:rFonts w:ascii="Times New Roman" w:hAnsi="Times New Roman"/>
          <w:noProof/>
          <w:sz w:val="24"/>
          <w:szCs w:val="24"/>
          <w:lang w:val="en-IE"/>
        </w:rPr>
        <w:t xml:space="preserve">, </w:t>
      </w:r>
      <w:r w:rsidRPr="00BD00A9">
        <w:rPr>
          <w:rFonts w:ascii="Times New Roman" w:hAnsi="Times New Roman"/>
          <w:noProof/>
          <w:sz w:val="24"/>
          <w:szCs w:val="24"/>
          <w:lang w:val="en-IE"/>
        </w:rPr>
        <w:t xml:space="preserve">17.3% concerned </w:t>
      </w:r>
      <w:r w:rsidR="009C6034" w:rsidRPr="00BD00A9">
        <w:rPr>
          <w:rFonts w:ascii="Times New Roman" w:hAnsi="Times New Roman"/>
          <w:noProof/>
          <w:sz w:val="24"/>
          <w:szCs w:val="24"/>
          <w:lang w:val="en-IE"/>
        </w:rPr>
        <w:t>the COVID-19 pandemic</w:t>
      </w:r>
      <w:r w:rsidR="006812CE" w:rsidRPr="00BD00A9">
        <w:rPr>
          <w:rFonts w:ascii="Times New Roman" w:hAnsi="Times New Roman"/>
          <w:noProof/>
          <w:sz w:val="24"/>
          <w:szCs w:val="24"/>
          <w:lang w:val="en-IE"/>
        </w:rPr>
        <w:t xml:space="preserve">. This included petitions </w:t>
      </w:r>
      <w:r w:rsidR="009C6034" w:rsidRPr="00BD00A9">
        <w:rPr>
          <w:rFonts w:ascii="Times New Roman" w:hAnsi="Times New Roman"/>
          <w:noProof/>
          <w:sz w:val="24"/>
          <w:szCs w:val="24"/>
          <w:lang w:val="en-IE"/>
        </w:rPr>
        <w:t xml:space="preserve">on the impact of </w:t>
      </w:r>
      <w:r w:rsidRPr="00BD00A9">
        <w:rPr>
          <w:rFonts w:ascii="Times New Roman" w:hAnsi="Times New Roman"/>
          <w:noProof/>
          <w:sz w:val="24"/>
          <w:szCs w:val="24"/>
          <w:lang w:val="en-IE"/>
        </w:rPr>
        <w:t xml:space="preserve">Member States’ </w:t>
      </w:r>
      <w:r w:rsidR="009C6034" w:rsidRPr="00BD00A9">
        <w:rPr>
          <w:rFonts w:ascii="Times New Roman" w:hAnsi="Times New Roman"/>
          <w:noProof/>
          <w:sz w:val="24"/>
          <w:szCs w:val="24"/>
          <w:lang w:val="en-IE"/>
        </w:rPr>
        <w:t>COVID-19 emergency measures on freedom of movement, and on the implementation of the EU Digital COVID Certificate</w:t>
      </w:r>
      <w:r w:rsidR="009C6034" w:rsidRPr="00BD00A9">
        <w:rPr>
          <w:rStyle w:val="FootnoteReference"/>
          <w:rFonts w:ascii="Times New Roman" w:hAnsi="Times New Roman"/>
          <w:noProof/>
          <w:sz w:val="24"/>
          <w:szCs w:val="24"/>
          <w:lang w:val="en-IE"/>
        </w:rPr>
        <w:footnoteReference w:id="143"/>
      </w:r>
      <w:r w:rsidR="009C6034" w:rsidRPr="00BD00A9">
        <w:rPr>
          <w:rFonts w:ascii="Times New Roman" w:hAnsi="Times New Roman"/>
          <w:i/>
          <w:iCs/>
          <w:noProof/>
          <w:sz w:val="24"/>
          <w:szCs w:val="24"/>
          <w:lang w:val="en-IE"/>
        </w:rPr>
        <w:t xml:space="preserve"> (see also </w:t>
      </w:r>
      <w:r w:rsidRPr="00BD00A9">
        <w:rPr>
          <w:rFonts w:ascii="Times New Roman" w:hAnsi="Times New Roman"/>
          <w:i/>
          <w:iCs/>
          <w:noProof/>
          <w:sz w:val="24"/>
          <w:szCs w:val="24"/>
          <w:lang w:val="en-IE"/>
        </w:rPr>
        <w:t>S</w:t>
      </w:r>
      <w:r w:rsidR="009C6034" w:rsidRPr="00BD00A9">
        <w:rPr>
          <w:rFonts w:ascii="Times New Roman" w:hAnsi="Times New Roman"/>
          <w:i/>
          <w:iCs/>
          <w:noProof/>
          <w:sz w:val="24"/>
          <w:szCs w:val="24"/>
          <w:lang w:val="en-IE"/>
        </w:rPr>
        <w:t xml:space="preserve">ection </w:t>
      </w:r>
      <w:r w:rsidR="00A71DC0">
        <w:rPr>
          <w:rFonts w:ascii="Times New Roman" w:hAnsi="Times New Roman"/>
          <w:i/>
          <w:iCs/>
          <w:noProof/>
          <w:sz w:val="24"/>
          <w:szCs w:val="24"/>
          <w:lang w:val="en-IE"/>
        </w:rPr>
        <w:t>6</w:t>
      </w:r>
      <w:r w:rsidR="009C6034" w:rsidRPr="00BD00A9">
        <w:rPr>
          <w:rFonts w:ascii="Times New Roman" w:hAnsi="Times New Roman"/>
          <w:i/>
          <w:iCs/>
          <w:noProof/>
          <w:sz w:val="24"/>
          <w:szCs w:val="24"/>
          <w:lang w:val="en-IE"/>
        </w:rPr>
        <w:t>.2.3).</w:t>
      </w:r>
    </w:p>
    <w:p w14:paraId="6799849C" w14:textId="181B4FB0" w:rsidR="00473996" w:rsidRPr="00BD00A9" w:rsidRDefault="00473996" w:rsidP="00164EC8">
      <w:pPr>
        <w:spacing w:line="276" w:lineRule="auto"/>
        <w:jc w:val="both"/>
        <w:rPr>
          <w:rFonts w:ascii="Times New Roman" w:hAnsi="Times New Roman"/>
          <w:noProof/>
          <w:sz w:val="24"/>
          <w:szCs w:val="24"/>
          <w:lang w:val="en-IE"/>
        </w:rPr>
      </w:pPr>
      <w:r w:rsidRPr="00BD00A9">
        <w:rPr>
          <w:rFonts w:ascii="Times New Roman" w:hAnsi="Times New Roman"/>
          <w:noProof/>
          <w:sz w:val="24"/>
          <w:szCs w:val="24"/>
          <w:lang w:val="en-IE"/>
        </w:rPr>
        <w:t xml:space="preserve">Between 2021 and 2023, the European Parliament </w:t>
      </w:r>
      <w:r w:rsidR="00AD26D2" w:rsidRPr="00BD00A9">
        <w:rPr>
          <w:rFonts w:ascii="Times New Roman" w:hAnsi="Times New Roman"/>
          <w:noProof/>
          <w:sz w:val="24"/>
          <w:szCs w:val="24"/>
          <w:lang w:val="en-IE"/>
        </w:rPr>
        <w:t xml:space="preserve">requested that </w:t>
      </w:r>
      <w:r w:rsidRPr="00BD00A9">
        <w:rPr>
          <w:rFonts w:ascii="Times New Roman" w:hAnsi="Times New Roman"/>
          <w:noProof/>
          <w:sz w:val="24"/>
          <w:szCs w:val="24"/>
          <w:lang w:val="en-IE"/>
        </w:rPr>
        <w:t>the Commission provide information</w:t>
      </w:r>
      <w:r w:rsidR="00AD26D2" w:rsidRPr="00BD00A9">
        <w:rPr>
          <w:rFonts w:ascii="Times New Roman" w:hAnsi="Times New Roman"/>
          <w:noProof/>
          <w:sz w:val="24"/>
          <w:szCs w:val="24"/>
          <w:lang w:val="en-IE"/>
        </w:rPr>
        <w:t xml:space="preserve"> on 1 471 petitions</w:t>
      </w:r>
      <w:r w:rsidRPr="00BD00A9">
        <w:rPr>
          <w:rStyle w:val="FootnoteReference"/>
          <w:rFonts w:ascii="Times New Roman" w:hAnsi="Times New Roman"/>
          <w:noProof/>
          <w:sz w:val="24"/>
          <w:szCs w:val="24"/>
          <w:lang w:val="en-IE"/>
        </w:rPr>
        <w:footnoteReference w:id="144"/>
      </w:r>
      <w:r w:rsidRPr="00BD00A9">
        <w:rPr>
          <w:rFonts w:ascii="Times New Roman" w:hAnsi="Times New Roman"/>
          <w:noProof/>
          <w:sz w:val="24"/>
          <w:szCs w:val="24"/>
          <w:lang w:val="en-IE"/>
        </w:rPr>
        <w:t>.</w:t>
      </w:r>
    </w:p>
    <w:p w14:paraId="1E8BF6A3" w14:textId="7FAD1D7B" w:rsidR="00164EC8" w:rsidRPr="00BD00A9" w:rsidRDefault="00164EC8" w:rsidP="00D855E4">
      <w:pPr>
        <w:pStyle w:val="Heading2"/>
      </w:pPr>
      <w:bookmarkStart w:id="89" w:name="_Toc150854732"/>
      <w:bookmarkStart w:id="90" w:name="_Toc152502513"/>
      <w:r w:rsidRPr="00BD00A9">
        <w:t>Right to address the European Ombudsman</w:t>
      </w:r>
      <w:bookmarkStart w:id="91" w:name="_Hlk144745524"/>
      <w:bookmarkEnd w:id="89"/>
      <w:bookmarkEnd w:id="90"/>
    </w:p>
    <w:p w14:paraId="29DA2AAA" w14:textId="5D2AB691" w:rsidR="00921453" w:rsidRPr="00BD00A9" w:rsidRDefault="00164EC8" w:rsidP="00164EC8">
      <w:pPr>
        <w:spacing w:line="276" w:lineRule="auto"/>
        <w:jc w:val="both"/>
        <w:rPr>
          <w:rFonts w:ascii="Times New Roman" w:hAnsi="Times New Roman"/>
          <w:noProof/>
          <w:sz w:val="24"/>
          <w:szCs w:val="24"/>
          <w:lang w:val="en-IE"/>
        </w:rPr>
      </w:pPr>
      <w:r w:rsidRPr="00BD00A9">
        <w:rPr>
          <w:rFonts w:ascii="Times New Roman" w:hAnsi="Times New Roman"/>
          <w:noProof/>
          <w:sz w:val="24"/>
          <w:szCs w:val="24"/>
          <w:lang w:val="en-IE"/>
        </w:rPr>
        <w:t>Under Article 24(3) TFEU, EU citizens have</w:t>
      </w:r>
      <w:r w:rsidR="006C65ED" w:rsidRPr="00BD00A9">
        <w:rPr>
          <w:rFonts w:ascii="Times New Roman" w:hAnsi="Times New Roman"/>
          <w:noProof/>
          <w:sz w:val="24"/>
          <w:szCs w:val="24"/>
          <w:lang w:val="en-IE"/>
        </w:rPr>
        <w:t xml:space="preserve"> a</w:t>
      </w:r>
      <w:r w:rsidRPr="00BD00A9">
        <w:rPr>
          <w:rFonts w:ascii="Times New Roman" w:hAnsi="Times New Roman"/>
          <w:noProof/>
          <w:sz w:val="24"/>
          <w:szCs w:val="24"/>
          <w:lang w:val="en-IE"/>
        </w:rPr>
        <w:t xml:space="preserve"> right to address the European Ombudsman, which deals with citizens’ complaints about EU institutions, bodies and agencies. Problems range from </w:t>
      </w:r>
      <w:r w:rsidR="00707A8E" w:rsidRPr="00BD00A9">
        <w:rPr>
          <w:rFonts w:ascii="Times New Roman" w:hAnsi="Times New Roman"/>
          <w:noProof/>
          <w:sz w:val="24"/>
          <w:szCs w:val="24"/>
          <w:lang w:val="en-IE"/>
        </w:rPr>
        <w:t xml:space="preserve">a </w:t>
      </w:r>
      <w:r w:rsidRPr="00BD00A9">
        <w:rPr>
          <w:rFonts w:ascii="Times New Roman" w:hAnsi="Times New Roman"/>
          <w:noProof/>
          <w:sz w:val="24"/>
          <w:szCs w:val="24"/>
          <w:lang w:val="en-IE"/>
        </w:rPr>
        <w:t xml:space="preserve">lack of transparency in decision-making and refusal </w:t>
      </w:r>
      <w:r w:rsidR="00707A8E" w:rsidRPr="00BD00A9">
        <w:rPr>
          <w:rFonts w:ascii="Times New Roman" w:hAnsi="Times New Roman"/>
          <w:noProof/>
          <w:sz w:val="24"/>
          <w:szCs w:val="24"/>
          <w:lang w:val="en-IE"/>
        </w:rPr>
        <w:t>to allow</w:t>
      </w:r>
      <w:r w:rsidRPr="00BD00A9">
        <w:rPr>
          <w:rFonts w:ascii="Times New Roman" w:hAnsi="Times New Roman"/>
          <w:noProof/>
          <w:sz w:val="24"/>
          <w:szCs w:val="24"/>
          <w:lang w:val="en-IE"/>
        </w:rPr>
        <w:t xml:space="preserve"> access to documents</w:t>
      </w:r>
      <w:r w:rsidR="006C65ED" w:rsidRPr="00BD00A9">
        <w:rPr>
          <w:rFonts w:ascii="Times New Roman" w:hAnsi="Times New Roman"/>
          <w:noProof/>
          <w:sz w:val="24"/>
          <w:szCs w:val="24"/>
          <w:lang w:val="en-IE"/>
        </w:rPr>
        <w:t xml:space="preserve"> to violations of fundamental rights</w:t>
      </w:r>
      <w:r w:rsidRPr="00BD00A9">
        <w:rPr>
          <w:rFonts w:ascii="Times New Roman" w:hAnsi="Times New Roman"/>
          <w:noProof/>
          <w:sz w:val="24"/>
          <w:szCs w:val="24"/>
          <w:lang w:val="en-IE"/>
        </w:rPr>
        <w:t>. In 2020-202</w:t>
      </w:r>
      <w:r w:rsidR="00921453" w:rsidRPr="00BD00A9">
        <w:rPr>
          <w:rFonts w:ascii="Times New Roman" w:hAnsi="Times New Roman"/>
          <w:noProof/>
          <w:sz w:val="24"/>
          <w:szCs w:val="24"/>
          <w:lang w:val="en-IE"/>
        </w:rPr>
        <w:t>2</w:t>
      </w:r>
      <w:r w:rsidRPr="00BD00A9">
        <w:rPr>
          <w:rFonts w:ascii="Times New Roman" w:hAnsi="Times New Roman"/>
          <w:noProof/>
          <w:sz w:val="24"/>
          <w:szCs w:val="24"/>
          <w:lang w:val="en-IE"/>
        </w:rPr>
        <w:t xml:space="preserve">, the Ombudsman’s office </w:t>
      </w:r>
      <w:r w:rsidR="00921453" w:rsidRPr="00BD00A9">
        <w:rPr>
          <w:rFonts w:ascii="Times New Roman" w:hAnsi="Times New Roman"/>
          <w:noProof/>
          <w:sz w:val="24"/>
          <w:szCs w:val="24"/>
          <w:lang w:val="en-IE"/>
        </w:rPr>
        <w:t xml:space="preserve">handled </w:t>
      </w:r>
      <w:r w:rsidR="00403550" w:rsidRPr="00BD00A9">
        <w:rPr>
          <w:rFonts w:ascii="Times New Roman" w:hAnsi="Times New Roman"/>
          <w:noProof/>
          <w:sz w:val="24"/>
          <w:szCs w:val="24"/>
          <w:lang w:val="en-IE"/>
        </w:rPr>
        <w:t>6</w:t>
      </w:r>
      <w:r w:rsidR="00800413" w:rsidRPr="00BD00A9">
        <w:rPr>
          <w:rFonts w:ascii="Times New Roman" w:hAnsi="Times New Roman"/>
          <w:noProof/>
          <w:sz w:val="24"/>
          <w:szCs w:val="24"/>
          <w:lang w:val="en-IE"/>
        </w:rPr>
        <w:t xml:space="preserve"> </w:t>
      </w:r>
      <w:r w:rsidR="00403550" w:rsidRPr="00BD00A9">
        <w:rPr>
          <w:rFonts w:ascii="Times New Roman" w:hAnsi="Times New Roman"/>
          <w:noProof/>
          <w:sz w:val="24"/>
          <w:szCs w:val="24"/>
          <w:lang w:val="en-IE"/>
        </w:rPr>
        <w:t>552</w:t>
      </w:r>
      <w:r w:rsidR="00921453" w:rsidRPr="00BD00A9">
        <w:rPr>
          <w:rFonts w:ascii="Times New Roman" w:hAnsi="Times New Roman"/>
          <w:noProof/>
          <w:sz w:val="24"/>
          <w:szCs w:val="24"/>
          <w:lang w:val="en-IE"/>
        </w:rPr>
        <w:t xml:space="preserve"> complaints</w:t>
      </w:r>
      <w:r w:rsidR="00403550" w:rsidRPr="00BD00A9">
        <w:rPr>
          <w:rFonts w:ascii="Times New Roman" w:hAnsi="Times New Roman"/>
          <w:noProof/>
          <w:sz w:val="24"/>
          <w:szCs w:val="24"/>
          <w:lang w:val="en-IE"/>
        </w:rPr>
        <w:t>, around 2</w:t>
      </w:r>
      <w:r w:rsidR="00800413" w:rsidRPr="00BD00A9">
        <w:rPr>
          <w:rFonts w:ascii="Times New Roman" w:hAnsi="Times New Roman"/>
          <w:noProof/>
          <w:sz w:val="24"/>
          <w:szCs w:val="24"/>
          <w:lang w:val="en-IE"/>
        </w:rPr>
        <w:t xml:space="preserve"> </w:t>
      </w:r>
      <w:r w:rsidR="00403550" w:rsidRPr="00BD00A9">
        <w:rPr>
          <w:rFonts w:ascii="Times New Roman" w:hAnsi="Times New Roman"/>
          <w:noProof/>
          <w:sz w:val="24"/>
          <w:szCs w:val="24"/>
          <w:lang w:val="en-IE"/>
        </w:rPr>
        <w:t xml:space="preserve">212 of which fell within its </w:t>
      </w:r>
      <w:r w:rsidR="00707A8E" w:rsidRPr="00BD00A9">
        <w:rPr>
          <w:rFonts w:ascii="Times New Roman" w:hAnsi="Times New Roman"/>
          <w:noProof/>
          <w:sz w:val="24"/>
          <w:szCs w:val="24"/>
          <w:lang w:val="en-IE"/>
        </w:rPr>
        <w:t>remit</w:t>
      </w:r>
      <w:r w:rsidR="00403550" w:rsidRPr="00BD00A9">
        <w:rPr>
          <w:rFonts w:ascii="Times New Roman" w:hAnsi="Times New Roman"/>
          <w:noProof/>
          <w:sz w:val="24"/>
          <w:szCs w:val="24"/>
          <w:lang w:val="en-IE"/>
        </w:rPr>
        <w:t>, and opened 1</w:t>
      </w:r>
      <w:r w:rsidR="00800413" w:rsidRPr="00BD00A9">
        <w:rPr>
          <w:rFonts w:ascii="Times New Roman" w:hAnsi="Times New Roman"/>
          <w:noProof/>
          <w:sz w:val="24"/>
          <w:szCs w:val="24"/>
          <w:lang w:val="en-IE"/>
        </w:rPr>
        <w:t xml:space="preserve"> </w:t>
      </w:r>
      <w:r w:rsidR="00403550" w:rsidRPr="00BD00A9">
        <w:rPr>
          <w:rFonts w:ascii="Times New Roman" w:hAnsi="Times New Roman"/>
          <w:noProof/>
          <w:sz w:val="24"/>
          <w:szCs w:val="24"/>
          <w:lang w:val="en-IE"/>
        </w:rPr>
        <w:t>0</w:t>
      </w:r>
      <w:r w:rsidR="006C65ED" w:rsidRPr="00BD00A9">
        <w:rPr>
          <w:rFonts w:ascii="Times New Roman" w:hAnsi="Times New Roman"/>
          <w:noProof/>
          <w:sz w:val="24"/>
          <w:szCs w:val="24"/>
          <w:lang w:val="en-IE"/>
        </w:rPr>
        <w:t>41</w:t>
      </w:r>
      <w:r w:rsidR="00403550" w:rsidRPr="00BD00A9">
        <w:rPr>
          <w:rFonts w:ascii="Times New Roman" w:hAnsi="Times New Roman"/>
          <w:noProof/>
          <w:sz w:val="24"/>
          <w:szCs w:val="24"/>
          <w:lang w:val="en-IE"/>
        </w:rPr>
        <w:t xml:space="preserve"> inquiries</w:t>
      </w:r>
      <w:r w:rsidR="00403550" w:rsidRPr="00BD00A9">
        <w:rPr>
          <w:rStyle w:val="FootnoteReference"/>
          <w:rFonts w:ascii="Times New Roman" w:hAnsi="Times New Roman"/>
          <w:noProof/>
          <w:sz w:val="24"/>
          <w:szCs w:val="24"/>
          <w:lang w:val="en-IE"/>
        </w:rPr>
        <w:footnoteReference w:id="145"/>
      </w:r>
      <w:r w:rsidR="00403550" w:rsidRPr="00BD00A9">
        <w:rPr>
          <w:rFonts w:ascii="Times New Roman" w:hAnsi="Times New Roman"/>
          <w:noProof/>
          <w:sz w:val="24"/>
          <w:szCs w:val="24"/>
          <w:lang w:val="en-IE"/>
        </w:rPr>
        <w:t>.</w:t>
      </w:r>
      <w:r w:rsidR="006C65ED" w:rsidRPr="00BD00A9">
        <w:rPr>
          <w:rFonts w:ascii="Times New Roman" w:hAnsi="Times New Roman"/>
          <w:noProof/>
          <w:sz w:val="24"/>
          <w:szCs w:val="24"/>
          <w:lang w:val="en-IE"/>
        </w:rPr>
        <w:t xml:space="preserve"> </w:t>
      </w:r>
    </w:p>
    <w:p w14:paraId="5FAC4C13" w14:textId="47FBF4FC" w:rsidR="00164EC8" w:rsidRPr="00BD00A9" w:rsidRDefault="00164EC8" w:rsidP="00164EC8">
      <w:pPr>
        <w:spacing w:line="276" w:lineRule="auto"/>
        <w:jc w:val="both"/>
        <w:rPr>
          <w:rFonts w:ascii="Times New Roman" w:hAnsi="Times New Roman"/>
          <w:noProof/>
          <w:sz w:val="24"/>
          <w:szCs w:val="24"/>
          <w:lang w:val="en-IE"/>
        </w:rPr>
      </w:pPr>
      <w:r w:rsidRPr="00BD00A9">
        <w:rPr>
          <w:rFonts w:ascii="Times New Roman" w:hAnsi="Times New Roman"/>
          <w:noProof/>
          <w:sz w:val="24"/>
          <w:szCs w:val="24"/>
          <w:lang w:val="en-IE"/>
        </w:rPr>
        <w:t xml:space="preserve">Compliance with the Ombudsman’s suggestions increased from 77% in 2018 to </w:t>
      </w:r>
      <w:r w:rsidR="006C65ED" w:rsidRPr="00BD00A9">
        <w:rPr>
          <w:rFonts w:ascii="Times New Roman" w:hAnsi="Times New Roman"/>
          <w:noProof/>
          <w:sz w:val="24"/>
          <w:szCs w:val="24"/>
          <w:lang w:val="en-IE"/>
        </w:rPr>
        <w:t>79%</w:t>
      </w:r>
      <w:r w:rsidRPr="00BD00A9">
        <w:rPr>
          <w:rFonts w:ascii="Times New Roman" w:hAnsi="Times New Roman"/>
          <w:noProof/>
          <w:sz w:val="24"/>
          <w:szCs w:val="24"/>
          <w:lang w:val="en-IE"/>
        </w:rPr>
        <w:t xml:space="preserve"> in </w:t>
      </w:r>
      <w:r w:rsidR="006C65ED" w:rsidRPr="00BD00A9">
        <w:rPr>
          <w:rFonts w:ascii="Times New Roman" w:hAnsi="Times New Roman"/>
          <w:noProof/>
          <w:sz w:val="24"/>
          <w:szCs w:val="24"/>
          <w:lang w:val="en-IE"/>
        </w:rPr>
        <w:t xml:space="preserve">2019 </w:t>
      </w:r>
      <w:r w:rsidR="00707A8E" w:rsidRPr="00BD00A9">
        <w:rPr>
          <w:rFonts w:ascii="Times New Roman" w:hAnsi="Times New Roman"/>
          <w:noProof/>
          <w:sz w:val="24"/>
          <w:szCs w:val="24"/>
          <w:lang w:val="en-IE"/>
        </w:rPr>
        <w:t>to</w:t>
      </w:r>
      <w:r w:rsidR="006C65ED" w:rsidRPr="00BD00A9">
        <w:rPr>
          <w:rFonts w:ascii="Times New Roman" w:hAnsi="Times New Roman"/>
          <w:noProof/>
          <w:sz w:val="24"/>
          <w:szCs w:val="24"/>
          <w:lang w:val="en-IE"/>
        </w:rPr>
        <w:t xml:space="preserve"> 81% in 2020 but decreased again to 79% in 2021. </w:t>
      </w:r>
      <w:r w:rsidRPr="00BD00A9">
        <w:rPr>
          <w:rFonts w:ascii="Times New Roman" w:hAnsi="Times New Roman"/>
          <w:noProof/>
          <w:sz w:val="24"/>
          <w:szCs w:val="24"/>
          <w:lang w:val="en-IE"/>
        </w:rPr>
        <w:t xml:space="preserve">The Ombudsman’s office helped over </w:t>
      </w:r>
      <w:r w:rsidR="006C65ED" w:rsidRPr="00BD00A9">
        <w:rPr>
          <w:rFonts w:ascii="Times New Roman" w:hAnsi="Times New Roman"/>
          <w:noProof/>
          <w:sz w:val="24"/>
          <w:szCs w:val="24"/>
          <w:lang w:val="en-IE"/>
        </w:rPr>
        <w:t>57 427</w:t>
      </w:r>
      <w:r w:rsidRPr="00BD00A9">
        <w:rPr>
          <w:rFonts w:ascii="Times New Roman" w:hAnsi="Times New Roman"/>
          <w:noProof/>
          <w:sz w:val="24"/>
          <w:szCs w:val="24"/>
          <w:lang w:val="en-IE"/>
        </w:rPr>
        <w:t xml:space="preserve"> citizens in the three-year period, by opening inquiries, answering requests for information </w:t>
      </w:r>
      <w:r w:rsidR="00707A8E" w:rsidRPr="00BD00A9">
        <w:rPr>
          <w:rFonts w:ascii="Times New Roman" w:hAnsi="Times New Roman"/>
          <w:noProof/>
          <w:sz w:val="24"/>
          <w:szCs w:val="24"/>
          <w:lang w:val="en-IE"/>
        </w:rPr>
        <w:t>and</w:t>
      </w:r>
      <w:r w:rsidRPr="00BD00A9">
        <w:rPr>
          <w:rFonts w:ascii="Times New Roman" w:hAnsi="Times New Roman"/>
          <w:noProof/>
          <w:sz w:val="24"/>
          <w:szCs w:val="24"/>
          <w:lang w:val="en-IE"/>
        </w:rPr>
        <w:t xml:space="preserve"> giving advice </w:t>
      </w:r>
      <w:r w:rsidR="00707A8E" w:rsidRPr="00BD00A9">
        <w:rPr>
          <w:rFonts w:ascii="Times New Roman" w:hAnsi="Times New Roman"/>
          <w:noProof/>
          <w:sz w:val="24"/>
          <w:szCs w:val="24"/>
          <w:lang w:val="en-IE"/>
        </w:rPr>
        <w:t>via</w:t>
      </w:r>
      <w:r w:rsidRPr="00BD00A9">
        <w:rPr>
          <w:rFonts w:ascii="Times New Roman" w:hAnsi="Times New Roman"/>
          <w:noProof/>
          <w:sz w:val="24"/>
          <w:szCs w:val="24"/>
          <w:lang w:val="en-IE"/>
        </w:rPr>
        <w:t xml:space="preserve"> its interactive online guide</w:t>
      </w:r>
      <w:r w:rsidR="006C65ED" w:rsidRPr="00BD00A9">
        <w:rPr>
          <w:rStyle w:val="FootnoteReference"/>
          <w:rFonts w:ascii="Times New Roman" w:hAnsi="Times New Roman"/>
          <w:noProof/>
          <w:sz w:val="24"/>
          <w:szCs w:val="24"/>
          <w:lang w:val="en-IE"/>
        </w:rPr>
        <w:footnoteReference w:id="146"/>
      </w:r>
      <w:r w:rsidRPr="00BD00A9">
        <w:rPr>
          <w:rFonts w:ascii="Times New Roman" w:hAnsi="Times New Roman"/>
          <w:noProof/>
          <w:sz w:val="24"/>
          <w:szCs w:val="24"/>
          <w:lang w:val="en-IE"/>
        </w:rPr>
        <w:t>.</w:t>
      </w:r>
    </w:p>
    <w:p w14:paraId="0F97941C" w14:textId="12CEEFA2" w:rsidR="00921453" w:rsidRPr="00BD00A9" w:rsidRDefault="00164EC8" w:rsidP="00164EC8">
      <w:pPr>
        <w:spacing w:line="276" w:lineRule="auto"/>
        <w:jc w:val="both"/>
        <w:rPr>
          <w:rFonts w:ascii="Times New Roman" w:hAnsi="Times New Roman"/>
          <w:noProof/>
          <w:sz w:val="24"/>
          <w:szCs w:val="24"/>
          <w:lang w:val="en-IE"/>
        </w:rPr>
      </w:pPr>
      <w:r w:rsidRPr="00BD00A9">
        <w:rPr>
          <w:rFonts w:ascii="Times New Roman" w:hAnsi="Times New Roman"/>
          <w:noProof/>
          <w:sz w:val="24"/>
          <w:szCs w:val="24"/>
          <w:lang w:val="en-IE"/>
        </w:rPr>
        <w:t xml:space="preserve">This core work </w:t>
      </w:r>
      <w:r w:rsidR="00707A8E" w:rsidRPr="00BD00A9">
        <w:rPr>
          <w:rFonts w:ascii="Times New Roman" w:hAnsi="Times New Roman"/>
          <w:noProof/>
          <w:sz w:val="24"/>
          <w:szCs w:val="24"/>
          <w:lang w:val="en-IE"/>
        </w:rPr>
        <w:t>of</w:t>
      </w:r>
      <w:r w:rsidRPr="00BD00A9">
        <w:rPr>
          <w:rFonts w:ascii="Times New Roman" w:hAnsi="Times New Roman"/>
          <w:noProof/>
          <w:sz w:val="24"/>
          <w:szCs w:val="24"/>
          <w:lang w:val="en-IE"/>
        </w:rPr>
        <w:t xml:space="preserve"> handling complaints was supplemented by strategic own-initiative inquiries, aimed at helping as many citizens as possible by examining issues which appear</w:t>
      </w:r>
      <w:r w:rsidR="00707A8E" w:rsidRPr="00BD00A9">
        <w:rPr>
          <w:rFonts w:ascii="Times New Roman" w:hAnsi="Times New Roman"/>
          <w:noProof/>
          <w:sz w:val="24"/>
          <w:szCs w:val="24"/>
          <w:lang w:val="en-IE"/>
        </w:rPr>
        <w:t>ed</w:t>
      </w:r>
      <w:r w:rsidRPr="00BD00A9">
        <w:rPr>
          <w:rFonts w:ascii="Times New Roman" w:hAnsi="Times New Roman"/>
          <w:noProof/>
          <w:sz w:val="24"/>
          <w:szCs w:val="24"/>
          <w:lang w:val="en-IE"/>
        </w:rPr>
        <w:t xml:space="preserve"> to be systemic, rather than one-off. </w:t>
      </w:r>
      <w:r w:rsidR="006C65ED" w:rsidRPr="00BD00A9">
        <w:rPr>
          <w:rFonts w:ascii="Times New Roman" w:hAnsi="Times New Roman"/>
          <w:noProof/>
          <w:sz w:val="24"/>
          <w:szCs w:val="24"/>
          <w:lang w:val="en-IE"/>
        </w:rPr>
        <w:t xml:space="preserve">In 2020-2022, the Ombudsman’s office opened 15 own-initiative inquiries. </w:t>
      </w:r>
    </w:p>
    <w:p w14:paraId="77918A4C" w14:textId="27396999" w:rsidR="00D855E4" w:rsidRPr="00BD00A9" w:rsidRDefault="00D855E4" w:rsidP="00D855E4">
      <w:pPr>
        <w:pStyle w:val="Heading2"/>
      </w:pPr>
      <w:bookmarkStart w:id="92" w:name="_Toc150854733"/>
      <w:bookmarkStart w:id="93" w:name="_Toc152502514"/>
      <w:bookmarkEnd w:id="91"/>
      <w:r w:rsidRPr="00BD00A9">
        <w:t>Case</w:t>
      </w:r>
      <w:r w:rsidR="000A06C9" w:rsidRPr="00BD00A9">
        <w:t xml:space="preserve"> </w:t>
      </w:r>
      <w:r w:rsidRPr="00BD00A9">
        <w:t>law developments</w:t>
      </w:r>
      <w:bookmarkEnd w:id="92"/>
      <w:bookmarkEnd w:id="93"/>
    </w:p>
    <w:p w14:paraId="507B18D0" w14:textId="2779FDAE" w:rsidR="00D855E4" w:rsidRPr="00BD00A9" w:rsidRDefault="004B65F5" w:rsidP="00164EC8">
      <w:pPr>
        <w:spacing w:after="240" w:line="276" w:lineRule="auto"/>
        <w:jc w:val="both"/>
        <w:rPr>
          <w:rFonts w:ascii="Times New Roman" w:eastAsiaTheme="minorEastAsia" w:hAnsi="Times New Roman"/>
          <w:noProof/>
          <w:sz w:val="24"/>
          <w:szCs w:val="24"/>
          <w:lang w:val="en-IE" w:eastAsia="zh-CN"/>
        </w:rPr>
      </w:pPr>
      <w:r w:rsidRPr="00BD00A9">
        <w:rPr>
          <w:rFonts w:ascii="Times New Roman" w:eastAsiaTheme="minorEastAsia" w:hAnsi="Times New Roman"/>
          <w:noProof/>
          <w:sz w:val="24"/>
          <w:szCs w:val="24"/>
          <w:lang w:val="en-IE" w:eastAsia="zh-CN"/>
        </w:rPr>
        <w:t xml:space="preserve">No decisions on this subject </w:t>
      </w:r>
      <w:r w:rsidR="00707A8E" w:rsidRPr="00BD00A9">
        <w:rPr>
          <w:rFonts w:ascii="Times New Roman" w:eastAsiaTheme="minorEastAsia" w:hAnsi="Times New Roman"/>
          <w:noProof/>
          <w:sz w:val="24"/>
          <w:szCs w:val="24"/>
          <w:lang w:val="en-IE" w:eastAsia="zh-CN"/>
        </w:rPr>
        <w:t>were</w:t>
      </w:r>
      <w:r w:rsidRPr="00BD00A9">
        <w:rPr>
          <w:rFonts w:ascii="Times New Roman" w:eastAsiaTheme="minorEastAsia" w:hAnsi="Times New Roman"/>
          <w:noProof/>
          <w:sz w:val="24"/>
          <w:szCs w:val="24"/>
          <w:lang w:val="en-IE" w:eastAsia="zh-CN"/>
        </w:rPr>
        <w:t xml:space="preserve"> issued during the reporting period.</w:t>
      </w:r>
    </w:p>
    <w:p w14:paraId="5B367885" w14:textId="18CA6C3E" w:rsidR="00D855E4" w:rsidRPr="00BD00A9" w:rsidRDefault="00D855E4" w:rsidP="00D855E4">
      <w:pPr>
        <w:pStyle w:val="Heading1"/>
        <w:rPr>
          <w:lang w:val="fr-BE"/>
        </w:rPr>
      </w:pPr>
      <w:bookmarkStart w:id="94" w:name="_Toc150854734"/>
      <w:bookmarkStart w:id="95" w:name="_Toc152502515"/>
      <w:r w:rsidRPr="00BD00A9">
        <w:rPr>
          <w:lang w:val="fr-BE"/>
        </w:rPr>
        <w:t>European Citizens’ Initiative (Article 24 TFEU; Article 11(4) TEU)</w:t>
      </w:r>
      <w:bookmarkStart w:id="96" w:name="_Hlk146297861"/>
      <w:bookmarkEnd w:id="94"/>
      <w:bookmarkEnd w:id="95"/>
    </w:p>
    <w:p w14:paraId="02C89564" w14:textId="3D569FC7" w:rsidR="001C6DA7" w:rsidRPr="00BD00A9" w:rsidRDefault="001C6DA7" w:rsidP="00D855E4">
      <w:pPr>
        <w:pStyle w:val="Heading2"/>
      </w:pPr>
      <w:bookmarkStart w:id="97" w:name="_Toc150854735"/>
      <w:bookmarkStart w:id="98" w:name="_Toc152502516"/>
      <w:bookmarkEnd w:id="96"/>
      <w:r w:rsidRPr="00BD00A9">
        <w:t>Introduction</w:t>
      </w:r>
      <w:bookmarkEnd w:id="97"/>
      <w:bookmarkEnd w:id="98"/>
    </w:p>
    <w:p w14:paraId="33CE061D" w14:textId="1B072611" w:rsidR="001C6DA7" w:rsidRPr="00BD00A9" w:rsidRDefault="001C6DA7" w:rsidP="001C6DA7">
      <w:pPr>
        <w:spacing w:after="240" w:line="276" w:lineRule="auto"/>
        <w:jc w:val="both"/>
        <w:rPr>
          <w:rFonts w:ascii="Times New Roman" w:eastAsiaTheme="minorEastAsia" w:hAnsi="Times New Roman"/>
          <w:noProof/>
          <w:sz w:val="24"/>
          <w:szCs w:val="24"/>
          <w:lang w:val="en-IE" w:eastAsia="zh-CN"/>
        </w:rPr>
      </w:pPr>
      <w:r w:rsidRPr="00BD00A9">
        <w:rPr>
          <w:rFonts w:ascii="Times New Roman" w:eastAsiaTheme="minorEastAsia" w:hAnsi="Times New Roman"/>
          <w:noProof/>
          <w:sz w:val="24"/>
          <w:szCs w:val="24"/>
          <w:lang w:val="en-IE" w:eastAsia="zh-CN"/>
        </w:rPr>
        <w:t xml:space="preserve">The European </w:t>
      </w:r>
      <w:r w:rsidR="00707A8E" w:rsidRPr="00BD00A9">
        <w:rPr>
          <w:rFonts w:ascii="Times New Roman" w:eastAsiaTheme="minorEastAsia" w:hAnsi="Times New Roman"/>
          <w:noProof/>
          <w:sz w:val="24"/>
          <w:szCs w:val="24"/>
          <w:lang w:val="en-IE" w:eastAsia="zh-CN"/>
        </w:rPr>
        <w:t>C</w:t>
      </w:r>
      <w:r w:rsidRPr="00BD00A9">
        <w:rPr>
          <w:rFonts w:ascii="Times New Roman" w:eastAsiaTheme="minorEastAsia" w:hAnsi="Times New Roman"/>
          <w:noProof/>
          <w:sz w:val="24"/>
          <w:szCs w:val="24"/>
          <w:lang w:val="en-IE" w:eastAsia="zh-CN"/>
        </w:rPr>
        <w:t xml:space="preserve">itizens’ </w:t>
      </w:r>
      <w:r w:rsidR="00707A8E" w:rsidRPr="00BD00A9">
        <w:rPr>
          <w:rFonts w:ascii="Times New Roman" w:eastAsiaTheme="minorEastAsia" w:hAnsi="Times New Roman"/>
          <w:noProof/>
          <w:sz w:val="24"/>
          <w:szCs w:val="24"/>
          <w:lang w:val="en-IE" w:eastAsia="zh-CN"/>
        </w:rPr>
        <w:t>I</w:t>
      </w:r>
      <w:r w:rsidRPr="00BD00A9">
        <w:rPr>
          <w:rFonts w:ascii="Times New Roman" w:eastAsiaTheme="minorEastAsia" w:hAnsi="Times New Roman"/>
          <w:noProof/>
          <w:sz w:val="24"/>
          <w:szCs w:val="24"/>
          <w:lang w:val="en-IE" w:eastAsia="zh-CN"/>
        </w:rPr>
        <w:t>nitiative</w:t>
      </w:r>
      <w:r w:rsidR="009E4E80" w:rsidRPr="00BD00A9">
        <w:rPr>
          <w:rFonts w:ascii="Times New Roman" w:eastAsiaTheme="minorEastAsia" w:hAnsi="Times New Roman"/>
          <w:noProof/>
          <w:sz w:val="24"/>
          <w:szCs w:val="24"/>
          <w:lang w:val="en-IE" w:eastAsia="zh-CN"/>
        </w:rPr>
        <w:t xml:space="preserve"> was</w:t>
      </w:r>
      <w:r w:rsidRPr="00BD00A9">
        <w:rPr>
          <w:rFonts w:ascii="Times New Roman" w:eastAsiaTheme="minorEastAsia" w:hAnsi="Times New Roman"/>
          <w:noProof/>
          <w:sz w:val="24"/>
          <w:szCs w:val="24"/>
          <w:lang w:val="en-IE" w:eastAsia="zh-CN"/>
        </w:rPr>
        <w:t xml:space="preserve"> introduced by the </w:t>
      </w:r>
      <w:r w:rsidR="00707A8E" w:rsidRPr="00BD00A9">
        <w:rPr>
          <w:rFonts w:ascii="Times New Roman" w:eastAsiaTheme="minorEastAsia" w:hAnsi="Times New Roman"/>
          <w:noProof/>
          <w:sz w:val="24"/>
          <w:szCs w:val="24"/>
          <w:lang w:val="en-IE" w:eastAsia="zh-CN"/>
        </w:rPr>
        <w:t xml:space="preserve">Treaty of </w:t>
      </w:r>
      <w:r w:rsidRPr="00BD00A9">
        <w:rPr>
          <w:rFonts w:ascii="Times New Roman" w:eastAsiaTheme="minorEastAsia" w:hAnsi="Times New Roman"/>
          <w:noProof/>
          <w:sz w:val="24"/>
          <w:szCs w:val="24"/>
          <w:lang w:val="en-IE" w:eastAsia="zh-CN"/>
        </w:rPr>
        <w:t>Lisbon and operational since 2012</w:t>
      </w:r>
      <w:r w:rsidR="009E4E80" w:rsidRPr="00BD00A9">
        <w:rPr>
          <w:rFonts w:ascii="Times New Roman" w:eastAsiaTheme="minorEastAsia" w:hAnsi="Times New Roman"/>
          <w:noProof/>
          <w:sz w:val="24"/>
          <w:szCs w:val="24"/>
          <w:lang w:val="en-IE" w:eastAsia="zh-CN"/>
        </w:rPr>
        <w:t>. It</w:t>
      </w:r>
      <w:r w:rsidRPr="00BD00A9">
        <w:rPr>
          <w:rFonts w:ascii="Times New Roman" w:eastAsiaTheme="minorEastAsia" w:hAnsi="Times New Roman"/>
          <w:noProof/>
          <w:sz w:val="24"/>
          <w:szCs w:val="24"/>
          <w:lang w:val="en-IE" w:eastAsia="zh-CN"/>
        </w:rPr>
        <w:t xml:space="preserve"> is part of EU citizenship rights and </w:t>
      </w:r>
      <w:r w:rsidR="00D4044E" w:rsidRPr="00BD00A9">
        <w:rPr>
          <w:rFonts w:ascii="Times New Roman" w:eastAsiaTheme="minorEastAsia" w:hAnsi="Times New Roman"/>
          <w:noProof/>
          <w:sz w:val="24"/>
          <w:szCs w:val="24"/>
          <w:lang w:val="en-IE" w:eastAsia="zh-CN"/>
        </w:rPr>
        <w:t>an important</w:t>
      </w:r>
      <w:r w:rsidR="001910A6" w:rsidRPr="00BD00A9">
        <w:rPr>
          <w:rFonts w:ascii="Times New Roman" w:eastAsiaTheme="minorEastAsia" w:hAnsi="Times New Roman"/>
          <w:noProof/>
          <w:sz w:val="24"/>
          <w:szCs w:val="24"/>
          <w:lang w:val="en-IE" w:eastAsia="zh-CN"/>
        </w:rPr>
        <w:t xml:space="preserve"> </w:t>
      </w:r>
      <w:r w:rsidRPr="00BD00A9">
        <w:rPr>
          <w:rFonts w:ascii="Times New Roman" w:eastAsiaTheme="minorEastAsia" w:hAnsi="Times New Roman"/>
          <w:noProof/>
          <w:sz w:val="24"/>
          <w:szCs w:val="24"/>
          <w:lang w:val="en-IE" w:eastAsia="zh-CN"/>
        </w:rPr>
        <w:t xml:space="preserve">instrument for participatory democracy in the EU. </w:t>
      </w:r>
      <w:r w:rsidR="00DD383D">
        <w:rPr>
          <w:rFonts w:ascii="Times New Roman" w:eastAsiaTheme="minorEastAsia" w:hAnsi="Times New Roman"/>
          <w:noProof/>
          <w:sz w:val="24"/>
          <w:szCs w:val="24"/>
          <w:lang w:val="en-IE" w:eastAsia="zh-CN"/>
        </w:rPr>
        <w:t xml:space="preserve">Article 24 TFEU and </w:t>
      </w:r>
      <w:r w:rsidRPr="00BD00A9">
        <w:rPr>
          <w:rFonts w:ascii="Times New Roman" w:eastAsiaTheme="minorEastAsia" w:hAnsi="Times New Roman"/>
          <w:noProof/>
          <w:sz w:val="24"/>
          <w:szCs w:val="24"/>
          <w:lang w:val="en-IE" w:eastAsia="zh-CN"/>
        </w:rPr>
        <w:t xml:space="preserve">Article 11(4) TEU, </w:t>
      </w:r>
      <w:r w:rsidR="00D13440" w:rsidRPr="00BD00A9">
        <w:rPr>
          <w:rFonts w:ascii="Times New Roman" w:eastAsiaTheme="minorEastAsia" w:hAnsi="Times New Roman"/>
          <w:noProof/>
          <w:sz w:val="24"/>
          <w:szCs w:val="24"/>
          <w:lang w:val="en-IE" w:eastAsia="zh-CN"/>
        </w:rPr>
        <w:t xml:space="preserve">first </w:t>
      </w:r>
      <w:r w:rsidRPr="00BD00A9">
        <w:rPr>
          <w:rFonts w:ascii="Times New Roman" w:eastAsiaTheme="minorEastAsia" w:hAnsi="Times New Roman"/>
          <w:noProof/>
          <w:sz w:val="24"/>
          <w:szCs w:val="24"/>
          <w:lang w:val="en-IE" w:eastAsia="zh-CN"/>
        </w:rPr>
        <w:t>implemented by Regulation 211/2011/EU</w:t>
      </w:r>
      <w:r w:rsidR="00D22A0B" w:rsidRPr="00BD00A9">
        <w:rPr>
          <w:rStyle w:val="FootnoteReference"/>
          <w:rFonts w:ascii="Times New Roman" w:eastAsiaTheme="minorEastAsia" w:hAnsi="Times New Roman"/>
          <w:noProof/>
          <w:sz w:val="24"/>
          <w:szCs w:val="24"/>
          <w:lang w:val="en-IE" w:eastAsia="zh-CN"/>
        </w:rPr>
        <w:footnoteReference w:id="147"/>
      </w:r>
      <w:r w:rsidRPr="00BD00A9">
        <w:rPr>
          <w:rFonts w:ascii="Times New Roman" w:eastAsiaTheme="minorEastAsia" w:hAnsi="Times New Roman"/>
          <w:noProof/>
          <w:sz w:val="24"/>
          <w:szCs w:val="24"/>
          <w:lang w:val="en-IE" w:eastAsia="zh-CN"/>
        </w:rPr>
        <w:t xml:space="preserve">, allow at least one million citizens </w:t>
      </w:r>
      <w:r w:rsidR="004C54A8" w:rsidRPr="00BD00A9">
        <w:rPr>
          <w:rFonts w:ascii="Times New Roman" w:eastAsiaTheme="minorEastAsia" w:hAnsi="Times New Roman"/>
          <w:noProof/>
          <w:sz w:val="24"/>
          <w:szCs w:val="24"/>
          <w:lang w:val="en-IE" w:eastAsia="zh-CN"/>
        </w:rPr>
        <w:t xml:space="preserve">from at least seven Member States </w:t>
      </w:r>
      <w:r w:rsidRPr="00BD00A9">
        <w:rPr>
          <w:rFonts w:ascii="Times New Roman" w:eastAsiaTheme="minorEastAsia" w:hAnsi="Times New Roman"/>
          <w:noProof/>
          <w:sz w:val="24"/>
          <w:szCs w:val="24"/>
          <w:lang w:val="en-IE" w:eastAsia="zh-CN"/>
        </w:rPr>
        <w:t xml:space="preserve">to ask the Commission to submit a proposal for a legal act that implements the EU </w:t>
      </w:r>
      <w:r w:rsidR="00837BCC" w:rsidRPr="00BD00A9">
        <w:rPr>
          <w:rFonts w:ascii="Times New Roman" w:eastAsiaTheme="minorEastAsia" w:hAnsi="Times New Roman"/>
          <w:noProof/>
          <w:sz w:val="24"/>
          <w:szCs w:val="24"/>
          <w:lang w:val="en-IE" w:eastAsia="zh-CN"/>
        </w:rPr>
        <w:t>T</w:t>
      </w:r>
      <w:r w:rsidRPr="00BD00A9">
        <w:rPr>
          <w:rFonts w:ascii="Times New Roman" w:eastAsiaTheme="minorEastAsia" w:hAnsi="Times New Roman"/>
          <w:noProof/>
          <w:sz w:val="24"/>
          <w:szCs w:val="24"/>
          <w:lang w:val="en-IE" w:eastAsia="zh-CN"/>
        </w:rPr>
        <w:t>reaties.</w:t>
      </w:r>
    </w:p>
    <w:p w14:paraId="0A31CE8F" w14:textId="456DF6DC" w:rsidR="001C6DA7" w:rsidRPr="00BD00A9" w:rsidRDefault="23CE5204" w:rsidP="001C6DA7">
      <w:pPr>
        <w:spacing w:after="240" w:line="276" w:lineRule="auto"/>
        <w:jc w:val="both"/>
        <w:rPr>
          <w:rFonts w:ascii="Times New Roman" w:hAnsi="Times New Roman"/>
          <w:noProof/>
          <w:sz w:val="24"/>
          <w:szCs w:val="24"/>
          <w:lang w:val="en-IE"/>
        </w:rPr>
      </w:pPr>
      <w:r w:rsidRPr="00BD00A9">
        <w:rPr>
          <w:rFonts w:ascii="Times New Roman" w:hAnsi="Times New Roman"/>
          <w:noProof/>
          <w:sz w:val="24"/>
          <w:szCs w:val="24"/>
          <w:lang w:val="en-IE"/>
        </w:rPr>
        <w:t xml:space="preserve">According to the 2023 Eurobarometer on </w:t>
      </w:r>
      <w:r w:rsidR="00837BCC" w:rsidRPr="00BD00A9">
        <w:rPr>
          <w:rFonts w:ascii="Times New Roman" w:hAnsi="Times New Roman"/>
          <w:noProof/>
          <w:sz w:val="24"/>
          <w:szCs w:val="24"/>
          <w:lang w:val="en-IE"/>
        </w:rPr>
        <w:t>c</w:t>
      </w:r>
      <w:r w:rsidRPr="00BD00A9">
        <w:rPr>
          <w:rFonts w:ascii="Times New Roman" w:hAnsi="Times New Roman"/>
          <w:noProof/>
          <w:sz w:val="24"/>
          <w:szCs w:val="24"/>
          <w:lang w:val="en-IE"/>
        </w:rPr>
        <w:t xml:space="preserve">itizenship and </w:t>
      </w:r>
      <w:r w:rsidR="00837BCC" w:rsidRPr="00BD00A9">
        <w:rPr>
          <w:rFonts w:ascii="Times New Roman" w:hAnsi="Times New Roman"/>
          <w:noProof/>
          <w:sz w:val="24"/>
          <w:szCs w:val="24"/>
          <w:lang w:val="en-IE"/>
        </w:rPr>
        <w:t>d</w:t>
      </w:r>
      <w:r w:rsidRPr="00BD00A9">
        <w:rPr>
          <w:rFonts w:ascii="Times New Roman" w:hAnsi="Times New Roman"/>
          <w:noProof/>
          <w:sz w:val="24"/>
          <w:szCs w:val="24"/>
          <w:lang w:val="en-IE"/>
        </w:rPr>
        <w:t xml:space="preserve">emocracy, 64% of EU citizens are aware </w:t>
      </w:r>
      <w:r w:rsidR="00D13440" w:rsidRPr="00BD00A9">
        <w:rPr>
          <w:rFonts w:ascii="Times New Roman" w:hAnsi="Times New Roman"/>
          <w:noProof/>
          <w:sz w:val="24"/>
          <w:szCs w:val="24"/>
          <w:lang w:val="en-IE"/>
        </w:rPr>
        <w:t>of</w:t>
      </w:r>
      <w:r w:rsidRPr="00BD00A9">
        <w:rPr>
          <w:rFonts w:ascii="Times New Roman" w:hAnsi="Times New Roman"/>
          <w:noProof/>
          <w:sz w:val="24"/>
          <w:szCs w:val="24"/>
          <w:lang w:val="en-IE"/>
        </w:rPr>
        <w:t xml:space="preserve"> the</w:t>
      </w:r>
      <w:r w:rsidR="00837BCC" w:rsidRPr="00BD00A9">
        <w:rPr>
          <w:rFonts w:ascii="Times New Roman" w:hAnsi="Times New Roman"/>
          <w:noProof/>
          <w:sz w:val="24"/>
          <w:szCs w:val="24"/>
          <w:lang w:val="en-IE"/>
        </w:rPr>
        <w:t>ir</w:t>
      </w:r>
      <w:r w:rsidRPr="00BD00A9">
        <w:rPr>
          <w:rFonts w:ascii="Times New Roman" w:hAnsi="Times New Roman"/>
          <w:noProof/>
          <w:sz w:val="24"/>
          <w:szCs w:val="24"/>
          <w:lang w:val="en-IE"/>
        </w:rPr>
        <w:t xml:space="preserve"> right to participate in a European </w:t>
      </w:r>
      <w:r w:rsidR="00511B74" w:rsidRPr="00BD00A9">
        <w:rPr>
          <w:rFonts w:ascii="Times New Roman" w:hAnsi="Times New Roman"/>
          <w:noProof/>
          <w:sz w:val="24"/>
          <w:szCs w:val="24"/>
          <w:lang w:val="en-IE"/>
        </w:rPr>
        <w:t>c</w:t>
      </w:r>
      <w:r w:rsidRPr="00BD00A9">
        <w:rPr>
          <w:rFonts w:ascii="Times New Roman" w:hAnsi="Times New Roman"/>
          <w:noProof/>
          <w:sz w:val="24"/>
          <w:szCs w:val="24"/>
          <w:lang w:val="en-IE"/>
        </w:rPr>
        <w:t>itizens</w:t>
      </w:r>
      <w:r w:rsidR="1B236535" w:rsidRPr="00BD00A9">
        <w:rPr>
          <w:rFonts w:ascii="Times New Roman" w:hAnsi="Times New Roman"/>
          <w:noProof/>
          <w:sz w:val="24"/>
          <w:szCs w:val="24"/>
          <w:lang w:val="en-IE"/>
        </w:rPr>
        <w:t>’</w:t>
      </w:r>
      <w:r w:rsidRPr="00BD00A9">
        <w:rPr>
          <w:rFonts w:ascii="Times New Roman" w:hAnsi="Times New Roman"/>
          <w:noProof/>
          <w:sz w:val="24"/>
          <w:szCs w:val="24"/>
          <w:lang w:val="en-IE"/>
        </w:rPr>
        <w:t xml:space="preserve"> </w:t>
      </w:r>
      <w:r w:rsidR="00511B74" w:rsidRPr="00BD00A9">
        <w:rPr>
          <w:rFonts w:ascii="Times New Roman" w:hAnsi="Times New Roman"/>
          <w:noProof/>
          <w:sz w:val="24"/>
          <w:szCs w:val="24"/>
          <w:lang w:val="en-IE"/>
        </w:rPr>
        <w:t>i</w:t>
      </w:r>
      <w:r w:rsidRPr="00BD00A9">
        <w:rPr>
          <w:rFonts w:ascii="Times New Roman" w:hAnsi="Times New Roman"/>
          <w:noProof/>
          <w:sz w:val="24"/>
          <w:szCs w:val="24"/>
          <w:lang w:val="en-IE"/>
        </w:rPr>
        <w:t>nitiative.</w:t>
      </w:r>
    </w:p>
    <w:p w14:paraId="1A028016" w14:textId="57CD2E5B" w:rsidR="00D855E4" w:rsidRPr="00BD00A9" w:rsidRDefault="00DD383D" w:rsidP="00D855E4">
      <w:pPr>
        <w:pStyle w:val="Heading2"/>
      </w:pPr>
      <w:bookmarkStart w:id="99" w:name="_Toc150854736"/>
      <w:r>
        <w:t xml:space="preserve"> </w:t>
      </w:r>
      <w:bookmarkStart w:id="100" w:name="_Toc152502517"/>
      <w:r w:rsidR="00D855E4" w:rsidRPr="00BD00A9">
        <w:t>Policy developments</w:t>
      </w:r>
      <w:bookmarkEnd w:id="99"/>
      <w:bookmarkEnd w:id="100"/>
    </w:p>
    <w:p w14:paraId="4D9F7124" w14:textId="738CC479" w:rsidR="00171294" w:rsidRPr="00BD00A9" w:rsidRDefault="00171294" w:rsidP="00171294">
      <w:pPr>
        <w:spacing w:after="240" w:line="276" w:lineRule="auto"/>
        <w:jc w:val="both"/>
        <w:rPr>
          <w:rFonts w:ascii="Times New Roman" w:eastAsiaTheme="minorEastAsia" w:hAnsi="Times New Roman"/>
          <w:noProof/>
          <w:sz w:val="24"/>
          <w:szCs w:val="24"/>
          <w:lang w:val="en-IE" w:eastAsia="zh-CN"/>
        </w:rPr>
      </w:pPr>
      <w:r w:rsidRPr="00BD00A9">
        <w:rPr>
          <w:rFonts w:ascii="Times New Roman" w:eastAsiaTheme="minorEastAsia" w:hAnsi="Times New Roman"/>
          <w:noProof/>
          <w:sz w:val="24"/>
          <w:szCs w:val="24"/>
          <w:lang w:val="en-IE" w:eastAsia="zh-CN"/>
        </w:rPr>
        <w:t xml:space="preserve">In parallel to this report, the Commission is also adopting </w:t>
      </w:r>
      <w:r>
        <w:rPr>
          <w:rFonts w:ascii="Times New Roman" w:eastAsiaTheme="minorEastAsia" w:hAnsi="Times New Roman"/>
          <w:noProof/>
          <w:sz w:val="24"/>
          <w:szCs w:val="24"/>
          <w:lang w:val="en-IE" w:eastAsia="zh-CN"/>
        </w:rPr>
        <w:t xml:space="preserve">a </w:t>
      </w:r>
      <w:r w:rsidRPr="00171294">
        <w:rPr>
          <w:rFonts w:ascii="Times New Roman" w:eastAsiaTheme="minorEastAsia" w:hAnsi="Times New Roman"/>
          <w:noProof/>
          <w:sz w:val="24"/>
          <w:szCs w:val="24"/>
          <w:lang w:val="en-IE" w:eastAsia="zh-CN"/>
        </w:rPr>
        <w:t>Report on the application of Regulation (EU) 2019/788 on the European citizens’ initiative</w:t>
      </w:r>
      <w:r>
        <w:rPr>
          <w:rFonts w:ascii="Times New Roman" w:eastAsiaTheme="minorEastAsia" w:hAnsi="Times New Roman"/>
          <w:noProof/>
          <w:sz w:val="24"/>
          <w:szCs w:val="24"/>
          <w:lang w:val="en-IE" w:eastAsia="zh-CN"/>
        </w:rPr>
        <w:t xml:space="preserve">, </w:t>
      </w:r>
      <w:r w:rsidRPr="00BD00A9">
        <w:rPr>
          <w:rFonts w:ascii="Times New Roman" w:eastAsiaTheme="minorEastAsia" w:hAnsi="Times New Roman"/>
          <w:noProof/>
          <w:sz w:val="24"/>
          <w:szCs w:val="24"/>
          <w:lang w:val="en-IE" w:eastAsia="zh-CN"/>
        </w:rPr>
        <w:t xml:space="preserve">taking stock of the functioning of the European Citizens’ Initiative and summarising follow-up on the successful initiatives the Commission has replied to since 2020. The report also announces several practical improvements within the existing legal framework aimed at further enhancing the functioning and visibility of the European Citizens’ Initiative and its impact on EU policies. </w:t>
      </w:r>
    </w:p>
    <w:p w14:paraId="1A0AEF82" w14:textId="5C803FE2" w:rsidR="00D35127" w:rsidRPr="00BD00A9" w:rsidRDefault="00D35127" w:rsidP="00D35127">
      <w:pPr>
        <w:spacing w:after="240" w:line="276" w:lineRule="auto"/>
        <w:jc w:val="both"/>
        <w:rPr>
          <w:rFonts w:ascii="Times New Roman" w:eastAsiaTheme="minorEastAsia" w:hAnsi="Times New Roman"/>
          <w:noProof/>
          <w:sz w:val="24"/>
          <w:szCs w:val="24"/>
          <w:lang w:val="en-IE" w:eastAsia="zh-CN"/>
        </w:rPr>
      </w:pPr>
      <w:r w:rsidRPr="00BD00A9">
        <w:rPr>
          <w:rFonts w:ascii="Times New Roman" w:eastAsiaTheme="minorEastAsia" w:hAnsi="Times New Roman"/>
          <w:noProof/>
          <w:sz w:val="24"/>
          <w:szCs w:val="24"/>
          <w:lang w:val="en-IE" w:eastAsia="zh-CN"/>
        </w:rPr>
        <w:t xml:space="preserve">The </w:t>
      </w:r>
      <w:r w:rsidR="00D13440" w:rsidRPr="00BD00A9">
        <w:rPr>
          <w:rFonts w:ascii="Times New Roman" w:eastAsiaTheme="minorEastAsia" w:hAnsi="Times New Roman"/>
          <w:b/>
          <w:bCs/>
          <w:noProof/>
          <w:sz w:val="24"/>
          <w:szCs w:val="24"/>
          <w:lang w:val="en-IE" w:eastAsia="zh-CN"/>
        </w:rPr>
        <w:t>new</w:t>
      </w:r>
      <w:r w:rsidRPr="00BD00A9">
        <w:rPr>
          <w:rFonts w:ascii="Times New Roman" w:eastAsiaTheme="minorEastAsia" w:hAnsi="Times New Roman"/>
          <w:b/>
          <w:bCs/>
          <w:noProof/>
          <w:sz w:val="24"/>
          <w:szCs w:val="24"/>
          <w:lang w:val="en-IE" w:eastAsia="zh-CN"/>
        </w:rPr>
        <w:t xml:space="preserve"> E</w:t>
      </w:r>
      <w:r w:rsidR="00844639" w:rsidRPr="00BD00A9">
        <w:rPr>
          <w:rFonts w:ascii="Times New Roman" w:eastAsiaTheme="minorEastAsia" w:hAnsi="Times New Roman"/>
          <w:b/>
          <w:bCs/>
          <w:noProof/>
          <w:sz w:val="24"/>
          <w:szCs w:val="24"/>
          <w:lang w:val="en-IE" w:eastAsia="zh-CN"/>
        </w:rPr>
        <w:t>uropean Citizens’ Initiative</w:t>
      </w:r>
      <w:r w:rsidRPr="00BD00A9">
        <w:rPr>
          <w:rFonts w:ascii="Times New Roman" w:eastAsiaTheme="minorEastAsia" w:hAnsi="Times New Roman"/>
          <w:b/>
          <w:bCs/>
          <w:noProof/>
          <w:sz w:val="24"/>
          <w:szCs w:val="24"/>
          <w:lang w:val="en-IE" w:eastAsia="zh-CN"/>
        </w:rPr>
        <w:t xml:space="preserve"> Regulation</w:t>
      </w:r>
      <w:r w:rsidRPr="00BD00A9">
        <w:rPr>
          <w:rStyle w:val="FootnoteReference"/>
          <w:rFonts w:ascii="Times New Roman" w:eastAsiaTheme="minorEastAsia" w:hAnsi="Times New Roman"/>
          <w:noProof/>
          <w:sz w:val="24"/>
          <w:szCs w:val="24"/>
          <w:lang w:val="en-IE" w:eastAsia="zh-CN"/>
        </w:rPr>
        <w:footnoteReference w:id="148"/>
      </w:r>
      <w:r w:rsidRPr="00BD00A9">
        <w:rPr>
          <w:rFonts w:ascii="Times New Roman" w:eastAsiaTheme="minorEastAsia" w:hAnsi="Times New Roman"/>
          <w:noProof/>
          <w:sz w:val="24"/>
          <w:szCs w:val="24"/>
          <w:lang w:val="en-IE" w:eastAsia="zh-CN"/>
        </w:rPr>
        <w:t xml:space="preserve"> </w:t>
      </w:r>
      <w:r w:rsidR="00511B74" w:rsidRPr="00BD00A9">
        <w:rPr>
          <w:rFonts w:ascii="Times New Roman" w:eastAsiaTheme="minorEastAsia" w:hAnsi="Times New Roman"/>
          <w:noProof/>
          <w:sz w:val="24"/>
          <w:szCs w:val="24"/>
          <w:lang w:val="en-IE" w:eastAsia="zh-CN"/>
        </w:rPr>
        <w:t xml:space="preserve">(ECI Regulation) </w:t>
      </w:r>
      <w:r w:rsidRPr="00BD00A9">
        <w:rPr>
          <w:rFonts w:ascii="Times New Roman" w:eastAsiaTheme="minorEastAsia" w:hAnsi="Times New Roman"/>
          <w:noProof/>
          <w:sz w:val="24"/>
          <w:szCs w:val="24"/>
          <w:lang w:val="en-IE" w:eastAsia="zh-CN"/>
        </w:rPr>
        <w:t xml:space="preserve">that </w:t>
      </w:r>
      <w:r w:rsidR="00837BCC" w:rsidRPr="00BD00A9">
        <w:rPr>
          <w:rFonts w:ascii="Times New Roman" w:eastAsiaTheme="minorEastAsia" w:hAnsi="Times New Roman"/>
          <w:noProof/>
          <w:sz w:val="24"/>
          <w:szCs w:val="24"/>
          <w:lang w:val="en-IE" w:eastAsia="zh-CN"/>
        </w:rPr>
        <w:t xml:space="preserve">has </w:t>
      </w:r>
      <w:r w:rsidRPr="00BD00A9">
        <w:rPr>
          <w:rFonts w:ascii="Times New Roman" w:eastAsiaTheme="minorEastAsia" w:hAnsi="Times New Roman"/>
          <w:noProof/>
          <w:sz w:val="24"/>
          <w:szCs w:val="24"/>
          <w:lang w:val="en-IE" w:eastAsia="zh-CN"/>
        </w:rPr>
        <w:t>applie</w:t>
      </w:r>
      <w:r w:rsidR="00837BCC" w:rsidRPr="00BD00A9">
        <w:rPr>
          <w:rFonts w:ascii="Times New Roman" w:eastAsiaTheme="minorEastAsia" w:hAnsi="Times New Roman"/>
          <w:noProof/>
          <w:sz w:val="24"/>
          <w:szCs w:val="24"/>
          <w:lang w:val="en-IE" w:eastAsia="zh-CN"/>
        </w:rPr>
        <w:t>d</w:t>
      </w:r>
      <w:r w:rsidRPr="00BD00A9">
        <w:rPr>
          <w:rFonts w:ascii="Times New Roman" w:eastAsiaTheme="minorEastAsia" w:hAnsi="Times New Roman"/>
          <w:noProof/>
          <w:sz w:val="24"/>
          <w:szCs w:val="24"/>
          <w:lang w:val="en-IE" w:eastAsia="zh-CN"/>
        </w:rPr>
        <w:t xml:space="preserve"> since January 2020 simplified the</w:t>
      </w:r>
      <w:r w:rsidR="00E2100E">
        <w:rPr>
          <w:rFonts w:ascii="Times New Roman" w:eastAsiaTheme="minorEastAsia" w:hAnsi="Times New Roman"/>
          <w:noProof/>
          <w:sz w:val="24"/>
          <w:szCs w:val="24"/>
          <w:lang w:val="en-IE" w:eastAsia="zh-CN"/>
        </w:rPr>
        <w:t xml:space="preserve"> </w:t>
      </w:r>
      <w:r w:rsidRPr="00BD00A9">
        <w:rPr>
          <w:rFonts w:ascii="Times New Roman" w:eastAsiaTheme="minorEastAsia" w:hAnsi="Times New Roman"/>
          <w:noProof/>
          <w:sz w:val="24"/>
          <w:szCs w:val="24"/>
          <w:lang w:val="en-IE" w:eastAsia="zh-CN"/>
        </w:rPr>
        <w:t>rules, making it easier to run or support E</w:t>
      </w:r>
      <w:r w:rsidR="00844639" w:rsidRPr="00BD00A9">
        <w:rPr>
          <w:rFonts w:ascii="Times New Roman" w:eastAsiaTheme="minorEastAsia" w:hAnsi="Times New Roman"/>
          <w:noProof/>
          <w:sz w:val="24"/>
          <w:szCs w:val="24"/>
          <w:lang w:val="en-IE" w:eastAsia="zh-CN"/>
        </w:rPr>
        <w:t xml:space="preserve">uropean </w:t>
      </w:r>
      <w:r w:rsidR="00511B74" w:rsidRPr="00BD00A9">
        <w:rPr>
          <w:rFonts w:ascii="Times New Roman" w:eastAsiaTheme="minorEastAsia" w:hAnsi="Times New Roman"/>
          <w:noProof/>
          <w:sz w:val="24"/>
          <w:szCs w:val="24"/>
          <w:lang w:val="en-IE" w:eastAsia="zh-CN"/>
        </w:rPr>
        <w:t>c</w:t>
      </w:r>
      <w:r w:rsidR="00844639" w:rsidRPr="00BD00A9">
        <w:rPr>
          <w:rFonts w:ascii="Times New Roman" w:eastAsiaTheme="minorEastAsia" w:hAnsi="Times New Roman"/>
          <w:noProof/>
          <w:sz w:val="24"/>
          <w:szCs w:val="24"/>
          <w:lang w:val="en-IE" w:eastAsia="zh-CN"/>
        </w:rPr>
        <w:t xml:space="preserve">itizens’ </w:t>
      </w:r>
      <w:r w:rsidR="00511B74" w:rsidRPr="00BD00A9">
        <w:rPr>
          <w:rFonts w:ascii="Times New Roman" w:eastAsiaTheme="minorEastAsia" w:hAnsi="Times New Roman"/>
          <w:noProof/>
          <w:sz w:val="24"/>
          <w:szCs w:val="24"/>
          <w:lang w:val="en-IE" w:eastAsia="zh-CN"/>
        </w:rPr>
        <w:t>i</w:t>
      </w:r>
      <w:r w:rsidR="00844639" w:rsidRPr="00BD00A9">
        <w:rPr>
          <w:rFonts w:ascii="Times New Roman" w:eastAsiaTheme="minorEastAsia" w:hAnsi="Times New Roman"/>
          <w:noProof/>
          <w:sz w:val="24"/>
          <w:szCs w:val="24"/>
          <w:lang w:val="en-IE" w:eastAsia="zh-CN"/>
        </w:rPr>
        <w:t>nitiative</w:t>
      </w:r>
      <w:r w:rsidRPr="00BD00A9">
        <w:rPr>
          <w:rFonts w:ascii="Times New Roman" w:eastAsiaTheme="minorEastAsia" w:hAnsi="Times New Roman"/>
          <w:noProof/>
          <w:sz w:val="24"/>
          <w:szCs w:val="24"/>
          <w:lang w:val="en-IE" w:eastAsia="zh-CN"/>
        </w:rPr>
        <w:t xml:space="preserve">s. </w:t>
      </w:r>
      <w:r w:rsidR="00DC4A53" w:rsidRPr="00BD00A9">
        <w:rPr>
          <w:rFonts w:ascii="Times New Roman" w:eastAsiaTheme="minorEastAsia" w:hAnsi="Times New Roman"/>
          <w:noProof/>
          <w:sz w:val="24"/>
          <w:szCs w:val="24"/>
          <w:lang w:val="en-IE" w:eastAsia="zh-CN"/>
        </w:rPr>
        <w:t xml:space="preserve">The new rules </w:t>
      </w:r>
      <w:r w:rsidR="00511B74" w:rsidRPr="00BD00A9">
        <w:rPr>
          <w:rFonts w:ascii="Times New Roman" w:eastAsiaTheme="minorEastAsia" w:hAnsi="Times New Roman"/>
          <w:noProof/>
          <w:sz w:val="24"/>
          <w:szCs w:val="24"/>
          <w:lang w:val="en-IE" w:eastAsia="zh-CN"/>
        </w:rPr>
        <w:t>introduce the</w:t>
      </w:r>
      <w:r w:rsidR="00DC4A53" w:rsidRPr="00BD00A9">
        <w:rPr>
          <w:rFonts w:ascii="Times New Roman" w:eastAsiaTheme="minorEastAsia" w:hAnsi="Times New Roman"/>
          <w:noProof/>
          <w:sz w:val="24"/>
          <w:szCs w:val="24"/>
          <w:lang w:val="en-IE" w:eastAsia="zh-CN"/>
        </w:rPr>
        <w:t xml:space="preserve"> </w:t>
      </w:r>
      <w:r w:rsidR="00511B74" w:rsidRPr="00BD00A9">
        <w:rPr>
          <w:rFonts w:ascii="Times New Roman" w:eastAsiaTheme="minorEastAsia" w:hAnsi="Times New Roman"/>
          <w:noProof/>
          <w:sz w:val="24"/>
          <w:szCs w:val="24"/>
          <w:lang w:val="en-IE" w:eastAsia="zh-CN"/>
        </w:rPr>
        <w:t>c</w:t>
      </w:r>
      <w:r w:rsidR="00DC4A53" w:rsidRPr="00BD00A9">
        <w:rPr>
          <w:rFonts w:ascii="Times New Roman" w:eastAsiaTheme="minorEastAsia" w:hAnsi="Times New Roman"/>
          <w:noProof/>
          <w:sz w:val="24"/>
          <w:szCs w:val="24"/>
          <w:lang w:val="en-IE" w:eastAsia="zh-CN"/>
        </w:rPr>
        <w:t xml:space="preserve">entral </w:t>
      </w:r>
      <w:r w:rsidR="00511B74" w:rsidRPr="00BD00A9">
        <w:rPr>
          <w:rFonts w:ascii="Times New Roman" w:eastAsiaTheme="minorEastAsia" w:hAnsi="Times New Roman"/>
          <w:noProof/>
          <w:sz w:val="24"/>
          <w:szCs w:val="24"/>
          <w:lang w:val="en-IE" w:eastAsia="zh-CN"/>
        </w:rPr>
        <w:t>o</w:t>
      </w:r>
      <w:r w:rsidR="00DC4A53" w:rsidRPr="00BD00A9">
        <w:rPr>
          <w:rFonts w:ascii="Times New Roman" w:eastAsiaTheme="minorEastAsia" w:hAnsi="Times New Roman"/>
          <w:noProof/>
          <w:sz w:val="24"/>
          <w:szCs w:val="24"/>
          <w:lang w:val="en-IE" w:eastAsia="zh-CN"/>
        </w:rPr>
        <w:t xml:space="preserve">nline </w:t>
      </w:r>
      <w:r w:rsidR="00511B74" w:rsidRPr="00BD00A9">
        <w:rPr>
          <w:rFonts w:ascii="Times New Roman" w:eastAsiaTheme="minorEastAsia" w:hAnsi="Times New Roman"/>
          <w:noProof/>
          <w:sz w:val="24"/>
          <w:szCs w:val="24"/>
          <w:lang w:val="en-IE" w:eastAsia="zh-CN"/>
        </w:rPr>
        <w:t>c</w:t>
      </w:r>
      <w:r w:rsidR="00DC4A53" w:rsidRPr="00BD00A9">
        <w:rPr>
          <w:rFonts w:ascii="Times New Roman" w:eastAsiaTheme="minorEastAsia" w:hAnsi="Times New Roman"/>
          <w:noProof/>
          <w:sz w:val="24"/>
          <w:szCs w:val="24"/>
          <w:lang w:val="en-IE" w:eastAsia="zh-CN"/>
        </w:rPr>
        <w:t xml:space="preserve">ollection </w:t>
      </w:r>
      <w:r w:rsidR="00511B74" w:rsidRPr="00BD00A9">
        <w:rPr>
          <w:rFonts w:ascii="Times New Roman" w:eastAsiaTheme="minorEastAsia" w:hAnsi="Times New Roman"/>
          <w:noProof/>
          <w:sz w:val="24"/>
          <w:szCs w:val="24"/>
          <w:lang w:val="en-IE" w:eastAsia="zh-CN"/>
        </w:rPr>
        <w:t>s</w:t>
      </w:r>
      <w:r w:rsidR="00DC4A53" w:rsidRPr="00BD00A9">
        <w:rPr>
          <w:rFonts w:ascii="Times New Roman" w:eastAsiaTheme="minorEastAsia" w:hAnsi="Times New Roman"/>
          <w:noProof/>
          <w:sz w:val="24"/>
          <w:szCs w:val="24"/>
          <w:lang w:val="en-IE" w:eastAsia="zh-CN"/>
        </w:rPr>
        <w:t>ystem</w:t>
      </w:r>
      <w:r w:rsidR="00511B74" w:rsidRPr="00BD00A9">
        <w:rPr>
          <w:rFonts w:ascii="Times New Roman" w:eastAsiaTheme="minorEastAsia" w:hAnsi="Times New Roman"/>
          <w:noProof/>
          <w:sz w:val="24"/>
          <w:szCs w:val="24"/>
          <w:lang w:val="en-IE" w:eastAsia="zh-CN"/>
        </w:rPr>
        <w:t>. This system, offered free of charge by the Commission,</w:t>
      </w:r>
      <w:r w:rsidR="00DC4A53" w:rsidRPr="00BD00A9">
        <w:rPr>
          <w:rFonts w:ascii="Times New Roman" w:eastAsiaTheme="minorEastAsia" w:hAnsi="Times New Roman"/>
          <w:noProof/>
          <w:sz w:val="24"/>
          <w:szCs w:val="24"/>
          <w:lang w:val="en-IE" w:eastAsia="zh-CN"/>
        </w:rPr>
        <w:t xml:space="preserve"> relieves organisers </w:t>
      </w:r>
      <w:r w:rsidR="00837BCC" w:rsidRPr="00BD00A9">
        <w:rPr>
          <w:rFonts w:ascii="Times New Roman" w:eastAsiaTheme="minorEastAsia" w:hAnsi="Times New Roman"/>
          <w:noProof/>
          <w:sz w:val="24"/>
          <w:szCs w:val="24"/>
          <w:lang w:val="en-IE" w:eastAsia="zh-CN"/>
        </w:rPr>
        <w:t>of</w:t>
      </w:r>
      <w:r w:rsidR="00DC4A53" w:rsidRPr="00BD00A9">
        <w:rPr>
          <w:rFonts w:ascii="Times New Roman" w:eastAsiaTheme="minorEastAsia" w:hAnsi="Times New Roman"/>
          <w:noProof/>
          <w:sz w:val="24"/>
          <w:szCs w:val="24"/>
          <w:lang w:val="en-IE" w:eastAsia="zh-CN"/>
        </w:rPr>
        <w:t xml:space="preserve"> the burden of setting up their own collection system and the data protection responsibilities that come with processing </w:t>
      </w:r>
      <w:r w:rsidR="00D4044E" w:rsidRPr="00BD00A9">
        <w:rPr>
          <w:rFonts w:ascii="Times New Roman" w:eastAsiaTheme="minorEastAsia" w:hAnsi="Times New Roman"/>
          <w:noProof/>
          <w:sz w:val="24"/>
          <w:szCs w:val="24"/>
          <w:lang w:val="en-IE" w:eastAsia="zh-CN"/>
        </w:rPr>
        <w:t>the</w:t>
      </w:r>
      <w:r w:rsidR="00DC4A53" w:rsidRPr="00BD00A9">
        <w:rPr>
          <w:rFonts w:ascii="Times New Roman" w:eastAsiaTheme="minorEastAsia" w:hAnsi="Times New Roman"/>
          <w:noProof/>
          <w:sz w:val="24"/>
          <w:szCs w:val="24"/>
          <w:lang w:val="en-IE" w:eastAsia="zh-CN"/>
        </w:rPr>
        <w:t xml:space="preserve"> personal data of </w:t>
      </w:r>
      <w:r w:rsidR="00837BCC" w:rsidRPr="00BD00A9">
        <w:rPr>
          <w:rFonts w:ascii="Times New Roman" w:eastAsiaTheme="minorEastAsia" w:hAnsi="Times New Roman"/>
          <w:noProof/>
          <w:sz w:val="24"/>
          <w:szCs w:val="24"/>
          <w:lang w:val="en-IE" w:eastAsia="zh-CN"/>
        </w:rPr>
        <w:t>online supporters</w:t>
      </w:r>
      <w:r w:rsidR="00DC4A53" w:rsidRPr="00BD00A9">
        <w:rPr>
          <w:rFonts w:ascii="Times New Roman" w:eastAsiaTheme="minorEastAsia" w:hAnsi="Times New Roman"/>
          <w:noProof/>
          <w:sz w:val="24"/>
          <w:szCs w:val="24"/>
          <w:lang w:val="en-IE" w:eastAsia="zh-CN"/>
        </w:rPr>
        <w:t xml:space="preserve">. </w:t>
      </w:r>
      <w:r w:rsidR="00837BCC" w:rsidRPr="00BD00A9">
        <w:rPr>
          <w:rFonts w:ascii="Times New Roman" w:eastAsiaTheme="minorEastAsia" w:hAnsi="Times New Roman"/>
          <w:noProof/>
          <w:sz w:val="24"/>
          <w:szCs w:val="24"/>
          <w:lang w:val="en-IE" w:eastAsia="zh-CN"/>
        </w:rPr>
        <w:t>However, t</w:t>
      </w:r>
      <w:r w:rsidRPr="00BD00A9">
        <w:rPr>
          <w:rFonts w:ascii="Times New Roman" w:eastAsiaTheme="minorEastAsia" w:hAnsi="Times New Roman"/>
          <w:noProof/>
          <w:sz w:val="24"/>
          <w:szCs w:val="24"/>
          <w:lang w:val="en-IE" w:eastAsia="zh-CN"/>
        </w:rPr>
        <w:t>he COVID-19 pandemic significantly disrupted the functioning of the E</w:t>
      </w:r>
      <w:r w:rsidR="00844639" w:rsidRPr="00BD00A9">
        <w:rPr>
          <w:rFonts w:ascii="Times New Roman" w:eastAsiaTheme="minorEastAsia" w:hAnsi="Times New Roman"/>
          <w:noProof/>
          <w:sz w:val="24"/>
          <w:szCs w:val="24"/>
          <w:lang w:val="en-IE" w:eastAsia="zh-CN"/>
        </w:rPr>
        <w:t>uropean Citizens’ Initiative</w:t>
      </w:r>
      <w:r w:rsidRPr="00BD00A9">
        <w:rPr>
          <w:rFonts w:ascii="Times New Roman" w:eastAsiaTheme="minorEastAsia" w:hAnsi="Times New Roman"/>
          <w:noProof/>
          <w:sz w:val="24"/>
          <w:szCs w:val="24"/>
          <w:lang w:val="en-IE" w:eastAsia="zh-CN"/>
        </w:rPr>
        <w:t xml:space="preserve"> </w:t>
      </w:r>
      <w:r w:rsidR="00837BCC" w:rsidRPr="00BD00A9">
        <w:rPr>
          <w:rFonts w:ascii="Times New Roman" w:eastAsiaTheme="minorEastAsia" w:hAnsi="Times New Roman"/>
          <w:noProof/>
          <w:sz w:val="24"/>
          <w:szCs w:val="24"/>
          <w:lang w:val="en-IE" w:eastAsia="zh-CN"/>
        </w:rPr>
        <w:t>during</w:t>
      </w:r>
      <w:r w:rsidRPr="00BD00A9">
        <w:rPr>
          <w:rFonts w:ascii="Times New Roman" w:eastAsiaTheme="minorEastAsia" w:hAnsi="Times New Roman"/>
          <w:noProof/>
          <w:sz w:val="24"/>
          <w:szCs w:val="24"/>
          <w:lang w:val="en-IE" w:eastAsia="zh-CN"/>
        </w:rPr>
        <w:t xml:space="preserve"> the first years </w:t>
      </w:r>
      <w:r w:rsidR="00837BCC" w:rsidRPr="00BD00A9">
        <w:rPr>
          <w:rFonts w:ascii="Times New Roman" w:eastAsiaTheme="minorEastAsia" w:hAnsi="Times New Roman"/>
          <w:noProof/>
          <w:sz w:val="24"/>
          <w:szCs w:val="24"/>
          <w:lang w:val="en-IE" w:eastAsia="zh-CN"/>
        </w:rPr>
        <w:t>in which</w:t>
      </w:r>
      <w:r w:rsidRPr="00BD00A9">
        <w:rPr>
          <w:rFonts w:ascii="Times New Roman" w:eastAsiaTheme="minorEastAsia" w:hAnsi="Times New Roman"/>
          <w:noProof/>
          <w:sz w:val="24"/>
          <w:szCs w:val="24"/>
          <w:lang w:val="en-IE" w:eastAsia="zh-CN"/>
        </w:rPr>
        <w:t xml:space="preserve"> the new rules</w:t>
      </w:r>
      <w:r w:rsidR="00837BCC" w:rsidRPr="00BD00A9">
        <w:rPr>
          <w:rFonts w:ascii="Times New Roman" w:eastAsiaTheme="minorEastAsia" w:hAnsi="Times New Roman"/>
          <w:noProof/>
          <w:sz w:val="24"/>
          <w:szCs w:val="24"/>
          <w:lang w:val="en-IE" w:eastAsia="zh-CN"/>
        </w:rPr>
        <w:t xml:space="preserve"> applied</w:t>
      </w:r>
      <w:r w:rsidRPr="00BD00A9">
        <w:rPr>
          <w:rFonts w:ascii="Times New Roman" w:eastAsiaTheme="minorEastAsia" w:hAnsi="Times New Roman"/>
          <w:noProof/>
          <w:sz w:val="24"/>
          <w:szCs w:val="24"/>
          <w:lang w:val="en-IE" w:eastAsia="zh-CN"/>
        </w:rPr>
        <w:t>. The temporary measures adopted by the co-legislators on 15 July 2020</w:t>
      </w:r>
      <w:r w:rsidRPr="00BD00A9">
        <w:rPr>
          <w:rStyle w:val="FootnoteReference"/>
          <w:rFonts w:ascii="Times New Roman" w:eastAsiaTheme="minorEastAsia" w:hAnsi="Times New Roman"/>
          <w:noProof/>
          <w:sz w:val="24"/>
          <w:szCs w:val="24"/>
          <w:lang w:val="en-IE" w:eastAsia="zh-CN"/>
        </w:rPr>
        <w:footnoteReference w:id="149"/>
      </w:r>
      <w:r w:rsidRPr="00BD00A9">
        <w:rPr>
          <w:rFonts w:ascii="Times New Roman" w:eastAsiaTheme="minorEastAsia" w:hAnsi="Times New Roman"/>
          <w:noProof/>
          <w:sz w:val="24"/>
          <w:szCs w:val="24"/>
          <w:lang w:val="en-IE" w:eastAsia="zh-CN"/>
        </w:rPr>
        <w:t xml:space="preserve"> limited the impact of the pandemic on ongoing initiatives, by </w:t>
      </w:r>
      <w:r w:rsidRPr="00BD00A9">
        <w:rPr>
          <w:rFonts w:ascii="Times New Roman" w:eastAsiaTheme="minorEastAsia" w:hAnsi="Times New Roman"/>
          <w:b/>
          <w:bCs/>
          <w:noProof/>
          <w:sz w:val="24"/>
          <w:szCs w:val="24"/>
          <w:lang w:val="en-IE" w:eastAsia="zh-CN"/>
        </w:rPr>
        <w:t>extending the collection periods</w:t>
      </w:r>
      <w:r w:rsidRPr="00BD00A9">
        <w:rPr>
          <w:rFonts w:ascii="Times New Roman" w:eastAsiaTheme="minorEastAsia" w:hAnsi="Times New Roman"/>
          <w:noProof/>
          <w:sz w:val="24"/>
          <w:szCs w:val="24"/>
          <w:lang w:val="en-IE" w:eastAsia="zh-CN"/>
        </w:rPr>
        <w:t xml:space="preserve"> </w:t>
      </w:r>
      <w:r w:rsidR="00837BCC" w:rsidRPr="00BD00A9">
        <w:rPr>
          <w:rFonts w:ascii="Times New Roman" w:eastAsiaTheme="minorEastAsia" w:hAnsi="Times New Roman"/>
          <w:noProof/>
          <w:sz w:val="24"/>
          <w:szCs w:val="24"/>
          <w:lang w:val="en-IE" w:eastAsia="zh-CN"/>
        </w:rPr>
        <w:t>for</w:t>
      </w:r>
      <w:r w:rsidRPr="00BD00A9">
        <w:rPr>
          <w:rFonts w:ascii="Times New Roman" w:eastAsiaTheme="minorEastAsia" w:hAnsi="Times New Roman"/>
          <w:noProof/>
          <w:sz w:val="24"/>
          <w:szCs w:val="24"/>
          <w:lang w:val="en-IE" w:eastAsia="zh-CN"/>
        </w:rPr>
        <w:t xml:space="preserve"> those initiatives by up to 12 months. </w:t>
      </w:r>
    </w:p>
    <w:p w14:paraId="44575B14" w14:textId="00E1DA9F" w:rsidR="00AC0DD1" w:rsidRPr="00BD00A9" w:rsidDel="00171294" w:rsidRDefault="00D35127" w:rsidP="00D35127">
      <w:pPr>
        <w:spacing w:after="240" w:line="276" w:lineRule="auto"/>
        <w:jc w:val="both"/>
        <w:rPr>
          <w:rFonts w:ascii="Times New Roman" w:eastAsiaTheme="minorEastAsia" w:hAnsi="Times New Roman"/>
          <w:noProof/>
          <w:sz w:val="24"/>
          <w:szCs w:val="24"/>
          <w:lang w:val="en-IE" w:eastAsia="zh-CN"/>
        </w:rPr>
      </w:pPr>
      <w:r w:rsidRPr="00BD00A9">
        <w:rPr>
          <w:rFonts w:ascii="Times New Roman" w:eastAsiaTheme="minorEastAsia" w:hAnsi="Times New Roman"/>
          <w:noProof/>
          <w:sz w:val="24"/>
          <w:szCs w:val="24"/>
          <w:lang w:val="en-IE" w:eastAsia="zh-CN"/>
        </w:rPr>
        <w:t>Since 2020, the Commission has registered 3</w:t>
      </w:r>
      <w:r w:rsidR="00511B74" w:rsidRPr="00BD00A9">
        <w:rPr>
          <w:rFonts w:ascii="Times New Roman" w:eastAsiaTheme="minorEastAsia" w:hAnsi="Times New Roman"/>
          <w:noProof/>
          <w:sz w:val="24"/>
          <w:szCs w:val="24"/>
          <w:lang w:val="en-IE" w:eastAsia="zh-CN"/>
        </w:rPr>
        <w:t>7</w:t>
      </w:r>
      <w:r w:rsidRPr="00BD00A9">
        <w:rPr>
          <w:rFonts w:ascii="Times New Roman" w:eastAsiaTheme="minorEastAsia" w:hAnsi="Times New Roman"/>
          <w:noProof/>
          <w:sz w:val="24"/>
          <w:szCs w:val="24"/>
          <w:lang w:val="en-IE" w:eastAsia="zh-CN"/>
        </w:rPr>
        <w:t xml:space="preserve"> initiatives; only one request for registration had to be refused for not meeting the criteria set </w:t>
      </w:r>
      <w:r w:rsidR="00837BCC" w:rsidRPr="00BD00A9">
        <w:rPr>
          <w:rFonts w:ascii="Times New Roman" w:eastAsiaTheme="minorEastAsia" w:hAnsi="Times New Roman"/>
          <w:noProof/>
          <w:sz w:val="24"/>
          <w:szCs w:val="24"/>
          <w:lang w:val="en-IE" w:eastAsia="zh-CN"/>
        </w:rPr>
        <w:t xml:space="preserve">out </w:t>
      </w:r>
      <w:r w:rsidRPr="00BD00A9">
        <w:rPr>
          <w:rFonts w:ascii="Times New Roman" w:eastAsiaTheme="minorEastAsia" w:hAnsi="Times New Roman"/>
          <w:noProof/>
          <w:sz w:val="24"/>
          <w:szCs w:val="24"/>
          <w:lang w:val="en-IE" w:eastAsia="zh-CN"/>
        </w:rPr>
        <w:t>in the E</w:t>
      </w:r>
      <w:r w:rsidR="00511B74" w:rsidRPr="00BD00A9">
        <w:rPr>
          <w:rFonts w:ascii="Times New Roman" w:eastAsiaTheme="minorEastAsia" w:hAnsi="Times New Roman"/>
          <w:noProof/>
          <w:sz w:val="24"/>
          <w:szCs w:val="24"/>
          <w:lang w:val="en-IE" w:eastAsia="zh-CN"/>
        </w:rPr>
        <w:t>CI</w:t>
      </w:r>
      <w:r w:rsidRPr="00BD00A9">
        <w:rPr>
          <w:rFonts w:ascii="Times New Roman" w:eastAsiaTheme="minorEastAsia" w:hAnsi="Times New Roman"/>
          <w:noProof/>
          <w:sz w:val="24"/>
          <w:szCs w:val="24"/>
          <w:lang w:val="en-IE" w:eastAsia="zh-CN"/>
        </w:rPr>
        <w:t xml:space="preserve"> Regulation. Overall, 10</w:t>
      </w:r>
      <w:r w:rsidR="00511B74" w:rsidRPr="00BD00A9">
        <w:rPr>
          <w:rFonts w:ascii="Times New Roman" w:eastAsiaTheme="minorEastAsia" w:hAnsi="Times New Roman"/>
          <w:noProof/>
          <w:sz w:val="24"/>
          <w:szCs w:val="24"/>
          <w:lang w:val="en-IE" w:eastAsia="zh-CN"/>
        </w:rPr>
        <w:t>7</w:t>
      </w:r>
      <w:r w:rsidRPr="00BD00A9">
        <w:rPr>
          <w:rFonts w:ascii="Times New Roman" w:eastAsiaTheme="minorEastAsia" w:hAnsi="Times New Roman"/>
          <w:noProof/>
          <w:sz w:val="24"/>
          <w:szCs w:val="24"/>
          <w:lang w:val="en-IE" w:eastAsia="zh-CN"/>
        </w:rPr>
        <w:t xml:space="preserve"> initiatives </w:t>
      </w:r>
      <w:r w:rsidR="00837BCC" w:rsidRPr="00BD00A9">
        <w:rPr>
          <w:rFonts w:ascii="Times New Roman" w:eastAsiaTheme="minorEastAsia" w:hAnsi="Times New Roman"/>
          <w:noProof/>
          <w:sz w:val="24"/>
          <w:szCs w:val="24"/>
          <w:lang w:val="en-IE" w:eastAsia="zh-CN"/>
        </w:rPr>
        <w:t>have been</w:t>
      </w:r>
      <w:r w:rsidRPr="00BD00A9">
        <w:rPr>
          <w:rFonts w:ascii="Times New Roman" w:eastAsiaTheme="minorEastAsia" w:hAnsi="Times New Roman"/>
          <w:noProof/>
          <w:sz w:val="24"/>
          <w:szCs w:val="24"/>
          <w:lang w:val="en-IE" w:eastAsia="zh-CN"/>
        </w:rPr>
        <w:t xml:space="preserve"> registered since the launch of the E</w:t>
      </w:r>
      <w:r w:rsidR="00844639" w:rsidRPr="00BD00A9">
        <w:rPr>
          <w:rFonts w:ascii="Times New Roman" w:eastAsiaTheme="minorEastAsia" w:hAnsi="Times New Roman"/>
          <w:noProof/>
          <w:sz w:val="24"/>
          <w:szCs w:val="24"/>
          <w:lang w:val="en-IE" w:eastAsia="zh-CN"/>
        </w:rPr>
        <w:t>uropean Citizens’ Initiative</w:t>
      </w:r>
      <w:r w:rsidRPr="00BD00A9">
        <w:rPr>
          <w:rFonts w:ascii="Times New Roman" w:eastAsiaTheme="minorEastAsia" w:hAnsi="Times New Roman"/>
          <w:noProof/>
          <w:sz w:val="24"/>
          <w:szCs w:val="24"/>
          <w:lang w:val="en-IE" w:eastAsia="zh-CN"/>
        </w:rPr>
        <w:t>. Since 2020, six initiatives were submitted to the Commission for examination after collect</w:t>
      </w:r>
      <w:r w:rsidR="00837BCC" w:rsidRPr="00BD00A9">
        <w:rPr>
          <w:rFonts w:ascii="Times New Roman" w:eastAsiaTheme="minorEastAsia" w:hAnsi="Times New Roman"/>
          <w:noProof/>
          <w:sz w:val="24"/>
          <w:szCs w:val="24"/>
          <w:lang w:val="en-IE" w:eastAsia="zh-CN"/>
        </w:rPr>
        <w:t>ing</w:t>
      </w:r>
      <w:r w:rsidRPr="00BD00A9">
        <w:rPr>
          <w:rFonts w:ascii="Times New Roman" w:eastAsiaTheme="minorEastAsia" w:hAnsi="Times New Roman"/>
          <w:noProof/>
          <w:sz w:val="24"/>
          <w:szCs w:val="24"/>
          <w:lang w:val="en-IE" w:eastAsia="zh-CN"/>
        </w:rPr>
        <w:t xml:space="preserve"> over 1 million valid statements of support from across the EU. The Commission replied to five of these initiatives, and a sixth reply should be adopted by </w:t>
      </w:r>
      <w:r w:rsidR="00511B74" w:rsidRPr="00BD00A9">
        <w:rPr>
          <w:rFonts w:ascii="Times New Roman" w:eastAsiaTheme="minorEastAsia" w:hAnsi="Times New Roman"/>
          <w:noProof/>
          <w:sz w:val="24"/>
          <w:szCs w:val="24"/>
          <w:lang w:val="en-IE" w:eastAsia="zh-CN"/>
        </w:rPr>
        <w:t>mid-December</w:t>
      </w:r>
      <w:r w:rsidRPr="00BD00A9">
        <w:rPr>
          <w:rFonts w:ascii="Times New Roman" w:eastAsiaTheme="minorEastAsia" w:hAnsi="Times New Roman"/>
          <w:noProof/>
          <w:sz w:val="24"/>
          <w:szCs w:val="24"/>
          <w:lang w:val="en-IE" w:eastAsia="zh-CN"/>
        </w:rPr>
        <w:t xml:space="preserve"> 2023. This will bring the total number of replies to initiatives to ten. </w:t>
      </w:r>
    </w:p>
    <w:p w14:paraId="0282C249" w14:textId="4742F939" w:rsidR="00D855E4" w:rsidRPr="00BD00A9" w:rsidRDefault="00DD383D" w:rsidP="00171294">
      <w:pPr>
        <w:pStyle w:val="Heading2"/>
      </w:pPr>
      <w:bookmarkStart w:id="101" w:name="_Toc150854737"/>
      <w:r>
        <w:t xml:space="preserve"> </w:t>
      </w:r>
      <w:bookmarkStart w:id="102" w:name="_Toc152502518"/>
      <w:r w:rsidR="00D855E4" w:rsidRPr="00BD00A9">
        <w:t>Case</w:t>
      </w:r>
      <w:r w:rsidR="00904724" w:rsidRPr="00BD00A9">
        <w:t xml:space="preserve"> </w:t>
      </w:r>
      <w:r w:rsidR="00D855E4" w:rsidRPr="00BD00A9">
        <w:t>law developments</w:t>
      </w:r>
      <w:bookmarkEnd w:id="101"/>
      <w:bookmarkEnd w:id="102"/>
    </w:p>
    <w:p w14:paraId="25C1D58C" w14:textId="30A46C20" w:rsidR="0023008D" w:rsidRPr="00BD00A9" w:rsidRDefault="1E4EA9C2" w:rsidP="0063404A">
      <w:pPr>
        <w:spacing w:line="276" w:lineRule="auto"/>
        <w:jc w:val="both"/>
        <w:rPr>
          <w:rFonts w:ascii="Times New Roman" w:eastAsiaTheme="minorEastAsia" w:hAnsi="Times New Roman"/>
          <w:noProof/>
          <w:sz w:val="24"/>
          <w:szCs w:val="24"/>
          <w:lang w:val="en-IE" w:eastAsia="zh-CN"/>
        </w:rPr>
      </w:pPr>
      <w:r w:rsidRPr="00BD00A9">
        <w:rPr>
          <w:rFonts w:ascii="Times New Roman" w:eastAsiaTheme="minorEastAsia" w:hAnsi="Times New Roman"/>
          <w:noProof/>
          <w:sz w:val="24"/>
          <w:szCs w:val="24"/>
          <w:lang w:val="en-IE" w:eastAsia="zh-CN"/>
        </w:rPr>
        <w:t xml:space="preserve">Since 2020, only a very limited number of cases involving </w:t>
      </w:r>
      <w:r w:rsidR="00844639" w:rsidRPr="00BD00A9">
        <w:rPr>
          <w:rFonts w:ascii="Times New Roman" w:eastAsiaTheme="minorEastAsia" w:hAnsi="Times New Roman"/>
          <w:noProof/>
          <w:sz w:val="24"/>
          <w:szCs w:val="24"/>
          <w:lang w:val="en-IE" w:eastAsia="zh-CN"/>
        </w:rPr>
        <w:t xml:space="preserve">European </w:t>
      </w:r>
      <w:r w:rsidR="00511B74" w:rsidRPr="00BD00A9">
        <w:rPr>
          <w:rFonts w:ascii="Times New Roman" w:eastAsiaTheme="minorEastAsia" w:hAnsi="Times New Roman"/>
          <w:noProof/>
          <w:sz w:val="24"/>
          <w:szCs w:val="24"/>
          <w:lang w:val="en-IE" w:eastAsia="zh-CN"/>
        </w:rPr>
        <w:t>c</w:t>
      </w:r>
      <w:r w:rsidR="00844639" w:rsidRPr="00BD00A9">
        <w:rPr>
          <w:rFonts w:ascii="Times New Roman" w:eastAsiaTheme="minorEastAsia" w:hAnsi="Times New Roman"/>
          <w:noProof/>
          <w:sz w:val="24"/>
          <w:szCs w:val="24"/>
          <w:lang w:val="en-IE" w:eastAsia="zh-CN"/>
        </w:rPr>
        <w:t xml:space="preserve">itizens’ </w:t>
      </w:r>
      <w:r w:rsidR="00511B74" w:rsidRPr="00BD00A9">
        <w:rPr>
          <w:rFonts w:ascii="Times New Roman" w:eastAsiaTheme="minorEastAsia" w:hAnsi="Times New Roman"/>
          <w:noProof/>
          <w:sz w:val="24"/>
          <w:szCs w:val="24"/>
          <w:lang w:val="en-IE" w:eastAsia="zh-CN"/>
        </w:rPr>
        <w:t>i</w:t>
      </w:r>
      <w:r w:rsidR="00844639" w:rsidRPr="00BD00A9">
        <w:rPr>
          <w:rFonts w:ascii="Times New Roman" w:eastAsiaTheme="minorEastAsia" w:hAnsi="Times New Roman"/>
          <w:noProof/>
          <w:sz w:val="24"/>
          <w:szCs w:val="24"/>
          <w:lang w:val="en-IE" w:eastAsia="zh-CN"/>
        </w:rPr>
        <w:t>nitiatives</w:t>
      </w:r>
      <w:r w:rsidRPr="00BD00A9">
        <w:rPr>
          <w:rFonts w:ascii="Times New Roman" w:eastAsiaTheme="minorEastAsia" w:hAnsi="Times New Roman"/>
          <w:noProof/>
          <w:sz w:val="24"/>
          <w:szCs w:val="24"/>
          <w:lang w:val="en-IE" w:eastAsia="zh-CN"/>
        </w:rPr>
        <w:t xml:space="preserve"> </w:t>
      </w:r>
      <w:r w:rsidR="00837BCC" w:rsidRPr="00BD00A9">
        <w:rPr>
          <w:rFonts w:ascii="Times New Roman" w:eastAsiaTheme="minorEastAsia" w:hAnsi="Times New Roman"/>
          <w:noProof/>
          <w:sz w:val="24"/>
          <w:szCs w:val="24"/>
          <w:lang w:val="en-IE" w:eastAsia="zh-CN"/>
        </w:rPr>
        <w:t>have been</w:t>
      </w:r>
      <w:r w:rsidRPr="00BD00A9">
        <w:rPr>
          <w:rFonts w:ascii="Times New Roman" w:eastAsiaTheme="minorEastAsia" w:hAnsi="Times New Roman"/>
          <w:noProof/>
          <w:sz w:val="24"/>
          <w:szCs w:val="24"/>
          <w:lang w:val="en-IE" w:eastAsia="zh-CN"/>
        </w:rPr>
        <w:t xml:space="preserve"> brought to the General Court. No new cases </w:t>
      </w:r>
      <w:r w:rsidR="007977D7" w:rsidRPr="00BD00A9">
        <w:rPr>
          <w:rFonts w:ascii="Times New Roman" w:eastAsiaTheme="minorEastAsia" w:hAnsi="Times New Roman"/>
          <w:noProof/>
          <w:sz w:val="24"/>
          <w:szCs w:val="24"/>
          <w:lang w:val="en-IE" w:eastAsia="zh-CN"/>
        </w:rPr>
        <w:t>concerning</w:t>
      </w:r>
      <w:r w:rsidRPr="00BD00A9">
        <w:rPr>
          <w:rFonts w:ascii="Times New Roman" w:eastAsiaTheme="minorEastAsia" w:hAnsi="Times New Roman"/>
          <w:noProof/>
          <w:sz w:val="24"/>
          <w:szCs w:val="24"/>
          <w:lang w:val="en-IE" w:eastAsia="zh-CN"/>
        </w:rPr>
        <w:t xml:space="preserve"> refused registrations have been brought to court by organisers. This can be attributed to the improvements to the registration procedure introduced by the </w:t>
      </w:r>
      <w:r w:rsidR="00D13440" w:rsidRPr="00BD00A9">
        <w:rPr>
          <w:rFonts w:ascii="Times New Roman" w:eastAsiaTheme="minorEastAsia" w:hAnsi="Times New Roman"/>
          <w:noProof/>
          <w:sz w:val="24"/>
          <w:szCs w:val="24"/>
          <w:lang w:val="en-IE" w:eastAsia="zh-CN"/>
        </w:rPr>
        <w:t>new</w:t>
      </w:r>
      <w:r w:rsidRPr="00BD00A9">
        <w:rPr>
          <w:rFonts w:ascii="Times New Roman" w:eastAsiaTheme="minorEastAsia" w:hAnsi="Times New Roman"/>
          <w:noProof/>
          <w:sz w:val="24"/>
          <w:szCs w:val="24"/>
          <w:lang w:val="en-IE" w:eastAsia="zh-CN"/>
        </w:rPr>
        <w:t xml:space="preserve"> E</w:t>
      </w:r>
      <w:r w:rsidR="00844639" w:rsidRPr="00BD00A9">
        <w:rPr>
          <w:rFonts w:ascii="Times New Roman" w:eastAsiaTheme="minorEastAsia" w:hAnsi="Times New Roman"/>
          <w:noProof/>
          <w:sz w:val="24"/>
          <w:szCs w:val="24"/>
          <w:lang w:val="en-IE" w:eastAsia="zh-CN"/>
        </w:rPr>
        <w:t>uropean Citizens’ Initiative</w:t>
      </w:r>
      <w:r w:rsidRPr="00BD00A9">
        <w:rPr>
          <w:rFonts w:ascii="Times New Roman" w:eastAsiaTheme="minorEastAsia" w:hAnsi="Times New Roman"/>
          <w:noProof/>
          <w:sz w:val="24"/>
          <w:szCs w:val="24"/>
          <w:lang w:val="en-IE" w:eastAsia="zh-CN"/>
        </w:rPr>
        <w:t xml:space="preserve"> Regulation, as a result of which only one registration request had to be refused on grounds that the Commission did not have the competence to propose a legal act in that area</w:t>
      </w:r>
      <w:r w:rsidR="0023008D" w:rsidRPr="00BD00A9">
        <w:rPr>
          <w:rStyle w:val="FootnoteReference"/>
          <w:rFonts w:ascii="Times New Roman" w:eastAsiaTheme="minorEastAsia" w:hAnsi="Times New Roman"/>
          <w:noProof/>
          <w:sz w:val="24"/>
          <w:szCs w:val="24"/>
          <w:lang w:val="en-IE" w:eastAsia="zh-CN"/>
        </w:rPr>
        <w:footnoteReference w:id="150"/>
      </w:r>
      <w:r w:rsidRPr="00BD00A9">
        <w:rPr>
          <w:rFonts w:ascii="Times New Roman" w:eastAsiaTheme="minorEastAsia" w:hAnsi="Times New Roman"/>
          <w:noProof/>
          <w:sz w:val="24"/>
          <w:szCs w:val="24"/>
          <w:lang w:val="en-IE" w:eastAsia="zh-CN"/>
        </w:rPr>
        <w:t xml:space="preserve">. The only cases in which Commission refusals </w:t>
      </w:r>
      <w:r w:rsidR="007977D7" w:rsidRPr="00BD00A9">
        <w:rPr>
          <w:rFonts w:ascii="Times New Roman" w:eastAsiaTheme="minorEastAsia" w:hAnsi="Times New Roman"/>
          <w:noProof/>
          <w:sz w:val="24"/>
          <w:szCs w:val="24"/>
          <w:lang w:val="en-IE" w:eastAsia="zh-CN"/>
        </w:rPr>
        <w:t>have been</w:t>
      </w:r>
      <w:r w:rsidRPr="00BD00A9">
        <w:rPr>
          <w:rFonts w:ascii="Times New Roman" w:eastAsiaTheme="minorEastAsia" w:hAnsi="Times New Roman"/>
          <w:noProof/>
          <w:sz w:val="24"/>
          <w:szCs w:val="24"/>
          <w:lang w:val="en-IE" w:eastAsia="zh-CN"/>
        </w:rPr>
        <w:t xml:space="preserve"> challenged in the last few years concerned refusal decisions adopted under the </w:t>
      </w:r>
      <w:r w:rsidR="00D4044E" w:rsidRPr="00BD00A9">
        <w:rPr>
          <w:rFonts w:ascii="Times New Roman" w:eastAsiaTheme="minorEastAsia" w:hAnsi="Times New Roman"/>
          <w:noProof/>
          <w:sz w:val="24"/>
          <w:szCs w:val="24"/>
          <w:lang w:val="en-IE" w:eastAsia="zh-CN"/>
        </w:rPr>
        <w:t xml:space="preserve">previous </w:t>
      </w:r>
      <w:r w:rsidRPr="00BD00A9">
        <w:rPr>
          <w:rFonts w:ascii="Times New Roman" w:eastAsiaTheme="minorEastAsia" w:hAnsi="Times New Roman"/>
          <w:noProof/>
          <w:sz w:val="24"/>
          <w:szCs w:val="24"/>
          <w:lang w:val="en-IE" w:eastAsia="zh-CN"/>
        </w:rPr>
        <w:t>Regulation (EU) 211/2011</w:t>
      </w:r>
      <w:r w:rsidR="0023008D" w:rsidRPr="00BD00A9">
        <w:rPr>
          <w:rStyle w:val="FootnoteReference"/>
          <w:rFonts w:ascii="Times New Roman" w:eastAsiaTheme="minorEastAsia" w:hAnsi="Times New Roman"/>
          <w:noProof/>
          <w:sz w:val="24"/>
          <w:szCs w:val="24"/>
          <w:lang w:val="en-IE" w:eastAsia="zh-CN"/>
        </w:rPr>
        <w:footnoteReference w:id="151"/>
      </w:r>
      <w:r w:rsidRPr="00BD00A9">
        <w:rPr>
          <w:rFonts w:ascii="Times New Roman" w:eastAsiaTheme="minorEastAsia" w:hAnsi="Times New Roman"/>
          <w:noProof/>
          <w:sz w:val="24"/>
          <w:szCs w:val="24"/>
          <w:lang w:val="en-IE" w:eastAsia="zh-CN"/>
        </w:rPr>
        <w:t>.</w:t>
      </w:r>
    </w:p>
    <w:p w14:paraId="74C89D74" w14:textId="16E80291" w:rsidR="0023008D" w:rsidRPr="00BD00A9" w:rsidRDefault="00511B74" w:rsidP="4FAC546D">
      <w:pPr>
        <w:spacing w:line="276" w:lineRule="auto"/>
        <w:jc w:val="both"/>
        <w:rPr>
          <w:rFonts w:ascii="Times New Roman" w:eastAsiaTheme="minorEastAsia" w:hAnsi="Times New Roman"/>
          <w:noProof/>
          <w:sz w:val="24"/>
          <w:szCs w:val="24"/>
          <w:lang w:val="en-IE" w:eastAsia="zh-CN"/>
        </w:rPr>
      </w:pPr>
      <w:r w:rsidRPr="00BD00A9">
        <w:rPr>
          <w:rFonts w:ascii="Times New Roman" w:eastAsiaTheme="minorEastAsia" w:hAnsi="Times New Roman"/>
          <w:noProof/>
          <w:sz w:val="24"/>
          <w:szCs w:val="24"/>
          <w:lang w:val="en-IE" w:eastAsia="zh-CN"/>
        </w:rPr>
        <w:t xml:space="preserve">Since 2020, one Commission’s reply to a successful initiative has been challenged before court. </w:t>
      </w:r>
      <w:r w:rsidR="1E4EA9C2" w:rsidRPr="00BD00A9">
        <w:rPr>
          <w:rFonts w:ascii="Times New Roman" w:eastAsiaTheme="minorEastAsia" w:hAnsi="Times New Roman"/>
          <w:noProof/>
          <w:sz w:val="24"/>
          <w:szCs w:val="24"/>
          <w:lang w:val="en-IE" w:eastAsia="zh-CN"/>
        </w:rPr>
        <w:t>In</w:t>
      </w:r>
      <w:r w:rsidR="00DD383D">
        <w:rPr>
          <w:rFonts w:ascii="Times New Roman" w:eastAsiaTheme="minorEastAsia" w:hAnsi="Times New Roman"/>
          <w:noProof/>
          <w:sz w:val="24"/>
          <w:szCs w:val="24"/>
          <w:lang w:val="en-IE" w:eastAsia="zh-CN"/>
        </w:rPr>
        <w:t xml:space="preserve"> case</w:t>
      </w:r>
      <w:r w:rsidR="1E4EA9C2" w:rsidRPr="00BD00A9">
        <w:rPr>
          <w:rFonts w:ascii="Times New Roman" w:eastAsiaTheme="minorEastAsia" w:hAnsi="Times New Roman"/>
          <w:noProof/>
          <w:sz w:val="24"/>
          <w:szCs w:val="24"/>
          <w:lang w:val="en-IE" w:eastAsia="zh-CN"/>
        </w:rPr>
        <w:t xml:space="preserve"> </w:t>
      </w:r>
      <w:r w:rsidR="1E4EA9C2" w:rsidRPr="00BD00A9">
        <w:rPr>
          <w:rFonts w:ascii="Times New Roman" w:eastAsiaTheme="minorEastAsia" w:hAnsi="Times New Roman"/>
          <w:b/>
          <w:bCs/>
          <w:i/>
          <w:iCs/>
          <w:noProof/>
          <w:sz w:val="24"/>
          <w:szCs w:val="24"/>
          <w:lang w:val="en-IE" w:eastAsia="zh-CN"/>
        </w:rPr>
        <w:t>Minority SafePack v. European Commission</w:t>
      </w:r>
      <w:r w:rsidR="0023008D" w:rsidRPr="00BD00A9">
        <w:rPr>
          <w:rStyle w:val="FootnoteReference"/>
          <w:rFonts w:ascii="Times New Roman" w:eastAsiaTheme="minorEastAsia" w:hAnsi="Times New Roman"/>
          <w:noProof/>
          <w:sz w:val="24"/>
          <w:szCs w:val="24"/>
          <w:lang w:val="en-IE" w:eastAsia="zh-CN"/>
        </w:rPr>
        <w:footnoteReference w:id="152"/>
      </w:r>
      <w:r w:rsidR="1E4EA9C2" w:rsidRPr="00BD00A9">
        <w:rPr>
          <w:rFonts w:ascii="Times New Roman" w:eastAsiaTheme="minorEastAsia" w:hAnsi="Times New Roman"/>
          <w:noProof/>
          <w:sz w:val="24"/>
          <w:szCs w:val="24"/>
          <w:lang w:val="en-IE" w:eastAsia="zh-CN"/>
        </w:rPr>
        <w:t xml:space="preserve">, </w:t>
      </w:r>
      <w:r w:rsidR="00D13440" w:rsidRPr="00BD00A9">
        <w:rPr>
          <w:rFonts w:ascii="Times New Roman" w:eastAsiaTheme="minorEastAsia" w:hAnsi="Times New Roman"/>
          <w:noProof/>
          <w:sz w:val="24"/>
          <w:szCs w:val="24"/>
          <w:lang w:val="en-IE" w:eastAsia="zh-CN"/>
        </w:rPr>
        <w:t>E</w:t>
      </w:r>
      <w:r w:rsidR="00F41ABA" w:rsidRPr="00BD00A9">
        <w:rPr>
          <w:rFonts w:ascii="Times New Roman" w:eastAsiaTheme="minorEastAsia" w:hAnsi="Times New Roman"/>
          <w:noProof/>
          <w:sz w:val="24"/>
          <w:szCs w:val="24"/>
          <w:lang w:val="en-IE" w:eastAsia="zh-CN"/>
        </w:rPr>
        <w:t xml:space="preserve">uropean </w:t>
      </w:r>
      <w:r w:rsidRPr="00BD00A9">
        <w:rPr>
          <w:rFonts w:ascii="Times New Roman" w:eastAsiaTheme="minorEastAsia" w:hAnsi="Times New Roman"/>
          <w:noProof/>
          <w:sz w:val="24"/>
          <w:szCs w:val="24"/>
          <w:lang w:val="en-IE" w:eastAsia="zh-CN"/>
        </w:rPr>
        <w:t>c</w:t>
      </w:r>
      <w:r w:rsidR="00F41ABA" w:rsidRPr="00BD00A9">
        <w:rPr>
          <w:rFonts w:ascii="Times New Roman" w:eastAsiaTheme="minorEastAsia" w:hAnsi="Times New Roman"/>
          <w:noProof/>
          <w:sz w:val="24"/>
          <w:szCs w:val="24"/>
          <w:lang w:val="en-IE" w:eastAsia="zh-CN"/>
        </w:rPr>
        <w:t xml:space="preserve">itizens’ </w:t>
      </w:r>
      <w:r w:rsidRPr="00BD00A9">
        <w:rPr>
          <w:rFonts w:ascii="Times New Roman" w:eastAsiaTheme="minorEastAsia" w:hAnsi="Times New Roman"/>
          <w:noProof/>
          <w:sz w:val="24"/>
          <w:szCs w:val="24"/>
          <w:lang w:val="en-IE" w:eastAsia="zh-CN"/>
        </w:rPr>
        <w:t>i</w:t>
      </w:r>
      <w:r w:rsidR="00F41ABA" w:rsidRPr="00BD00A9">
        <w:rPr>
          <w:rFonts w:ascii="Times New Roman" w:eastAsiaTheme="minorEastAsia" w:hAnsi="Times New Roman"/>
          <w:noProof/>
          <w:sz w:val="24"/>
          <w:szCs w:val="24"/>
          <w:lang w:val="en-IE" w:eastAsia="zh-CN"/>
        </w:rPr>
        <w:t>nitiative</w:t>
      </w:r>
      <w:r w:rsidR="00D13440" w:rsidRPr="00BD00A9">
        <w:rPr>
          <w:rFonts w:ascii="Times New Roman" w:eastAsiaTheme="minorEastAsia" w:hAnsi="Times New Roman"/>
          <w:noProof/>
          <w:sz w:val="24"/>
          <w:szCs w:val="24"/>
          <w:lang w:val="en-IE" w:eastAsia="zh-CN"/>
        </w:rPr>
        <w:t xml:space="preserve"> </w:t>
      </w:r>
      <w:r w:rsidR="1E4EA9C2" w:rsidRPr="00BD00A9">
        <w:rPr>
          <w:rFonts w:ascii="Times New Roman" w:eastAsiaTheme="minorEastAsia" w:hAnsi="Times New Roman"/>
          <w:noProof/>
          <w:sz w:val="24"/>
          <w:szCs w:val="24"/>
          <w:lang w:val="en-IE" w:eastAsia="zh-CN"/>
        </w:rPr>
        <w:t>organisers</w:t>
      </w:r>
      <w:r w:rsidRPr="00BD00A9">
        <w:rPr>
          <w:rFonts w:ascii="Times New Roman" w:eastAsiaTheme="minorEastAsia" w:hAnsi="Times New Roman"/>
          <w:noProof/>
          <w:sz w:val="24"/>
          <w:szCs w:val="24"/>
          <w:lang w:val="en-IE" w:eastAsia="zh-CN"/>
        </w:rPr>
        <w:t xml:space="preserve"> brought an action for annulment against</w:t>
      </w:r>
      <w:r w:rsidR="1E4EA9C2" w:rsidRPr="00BD00A9">
        <w:rPr>
          <w:rFonts w:ascii="Times New Roman" w:eastAsiaTheme="minorEastAsia" w:hAnsi="Times New Roman"/>
          <w:noProof/>
          <w:sz w:val="24"/>
          <w:szCs w:val="24"/>
          <w:lang w:val="en-IE" w:eastAsia="zh-CN"/>
        </w:rPr>
        <w:t xml:space="preserve"> the Commission’s Communication refusing to take the action requested in the European citizens’ initiative </w:t>
      </w:r>
      <w:r w:rsidR="007977D7" w:rsidRPr="00BD00A9">
        <w:rPr>
          <w:rFonts w:ascii="Times New Roman" w:eastAsiaTheme="minorEastAsia" w:hAnsi="Times New Roman"/>
          <w:noProof/>
          <w:sz w:val="24"/>
          <w:szCs w:val="24"/>
          <w:lang w:val="en-IE" w:eastAsia="zh-CN"/>
        </w:rPr>
        <w:t>entitled ‘</w:t>
      </w:r>
      <w:r w:rsidR="1E4EA9C2" w:rsidRPr="00BD00A9">
        <w:rPr>
          <w:rFonts w:ascii="Times New Roman" w:eastAsiaTheme="minorEastAsia" w:hAnsi="Times New Roman"/>
          <w:noProof/>
          <w:sz w:val="24"/>
          <w:szCs w:val="24"/>
          <w:lang w:val="en-IE" w:eastAsia="zh-CN"/>
        </w:rPr>
        <w:t>Minority SafePack – one million signatures for diversity in Europe</w:t>
      </w:r>
      <w:r w:rsidR="007977D7" w:rsidRPr="00BD00A9">
        <w:rPr>
          <w:rFonts w:ascii="Times New Roman" w:eastAsiaTheme="minorEastAsia" w:hAnsi="Times New Roman"/>
          <w:noProof/>
          <w:sz w:val="24"/>
          <w:szCs w:val="24"/>
          <w:lang w:val="en-IE" w:eastAsia="zh-CN"/>
        </w:rPr>
        <w:t>’</w:t>
      </w:r>
      <w:r w:rsidR="1E4EA9C2" w:rsidRPr="00BD00A9">
        <w:rPr>
          <w:rFonts w:ascii="Times New Roman" w:eastAsiaTheme="minorEastAsia" w:hAnsi="Times New Roman"/>
          <w:noProof/>
          <w:sz w:val="24"/>
          <w:szCs w:val="24"/>
          <w:lang w:val="en-IE" w:eastAsia="zh-CN"/>
        </w:rPr>
        <w:t xml:space="preserve">. </w:t>
      </w:r>
      <w:r w:rsidR="005C01D5" w:rsidRPr="00BD00A9">
        <w:rPr>
          <w:rFonts w:ascii="Times New Roman" w:eastAsiaTheme="minorEastAsia" w:hAnsi="Times New Roman"/>
          <w:noProof/>
          <w:sz w:val="24"/>
          <w:szCs w:val="24"/>
          <w:lang w:val="en-IE" w:eastAsia="zh-CN"/>
        </w:rPr>
        <w:t>In its judgment of 9 November 2022, t</w:t>
      </w:r>
      <w:r w:rsidR="1E4EA9C2" w:rsidRPr="00BD00A9">
        <w:rPr>
          <w:rFonts w:ascii="Times New Roman" w:eastAsiaTheme="minorEastAsia" w:hAnsi="Times New Roman"/>
          <w:noProof/>
          <w:sz w:val="24"/>
          <w:szCs w:val="24"/>
          <w:lang w:val="en-IE" w:eastAsia="zh-CN"/>
        </w:rPr>
        <w:t xml:space="preserve">he General Court </w:t>
      </w:r>
      <w:r w:rsidR="005C01D5" w:rsidRPr="00BD00A9">
        <w:rPr>
          <w:rFonts w:ascii="Times New Roman" w:eastAsiaTheme="minorEastAsia" w:hAnsi="Times New Roman"/>
          <w:noProof/>
          <w:sz w:val="24"/>
          <w:szCs w:val="24"/>
          <w:lang w:val="en-IE" w:eastAsia="zh-CN"/>
        </w:rPr>
        <w:t xml:space="preserve">held </w:t>
      </w:r>
      <w:r w:rsidR="1E4EA9C2" w:rsidRPr="00BD00A9">
        <w:rPr>
          <w:rFonts w:ascii="Times New Roman" w:eastAsiaTheme="minorEastAsia" w:hAnsi="Times New Roman"/>
          <w:noProof/>
          <w:sz w:val="24"/>
          <w:szCs w:val="24"/>
          <w:lang w:val="en-IE" w:eastAsia="zh-CN"/>
        </w:rPr>
        <w:t xml:space="preserve">that the Commission </w:t>
      </w:r>
      <w:r w:rsidR="005C01D5" w:rsidRPr="00BD00A9">
        <w:rPr>
          <w:rFonts w:ascii="Times New Roman" w:eastAsia="Times New Roman" w:hAnsi="Times New Roman" w:cs="Times New Roman"/>
          <w:noProof/>
          <w:sz w:val="24"/>
          <w:szCs w:val="24"/>
          <w:lang w:val="en-GB"/>
        </w:rPr>
        <w:t>complied with its obligation to state reasons when considering that no additional legal act was necessary to achieve the objectives pursued by the initiative, given the initiatives already undertaken by the EU institutions in the areas covered by the initiative and the Commission’s monitoring of their implementation</w:t>
      </w:r>
      <w:r w:rsidR="005C01D5" w:rsidRPr="00BD00A9">
        <w:rPr>
          <w:rFonts w:ascii="Times New Roman" w:eastAsiaTheme="minorEastAsia" w:hAnsi="Times New Roman"/>
          <w:noProof/>
          <w:sz w:val="24"/>
          <w:szCs w:val="24"/>
          <w:lang w:val="en-IE" w:eastAsia="zh-CN"/>
        </w:rPr>
        <w:t xml:space="preserve">. </w:t>
      </w:r>
      <w:r w:rsidR="00D13440" w:rsidRPr="00BD00A9">
        <w:rPr>
          <w:rFonts w:ascii="Times New Roman" w:eastAsiaTheme="minorEastAsia" w:hAnsi="Times New Roman"/>
          <w:noProof/>
          <w:sz w:val="24"/>
          <w:szCs w:val="24"/>
          <w:lang w:val="en-IE" w:eastAsia="zh-CN"/>
        </w:rPr>
        <w:t xml:space="preserve">On 21 January 2023, the organisers </w:t>
      </w:r>
      <w:r w:rsidR="005C01D5" w:rsidRPr="00BD00A9">
        <w:rPr>
          <w:rFonts w:ascii="Times New Roman" w:eastAsiaTheme="minorEastAsia" w:hAnsi="Times New Roman"/>
          <w:noProof/>
          <w:sz w:val="24"/>
          <w:szCs w:val="24"/>
          <w:lang w:val="en-IE" w:eastAsia="zh-CN"/>
        </w:rPr>
        <w:t>lodged</w:t>
      </w:r>
      <w:r w:rsidR="00D13440" w:rsidRPr="00BD00A9">
        <w:rPr>
          <w:rFonts w:ascii="Times New Roman" w:eastAsiaTheme="minorEastAsia" w:hAnsi="Times New Roman"/>
          <w:noProof/>
          <w:sz w:val="24"/>
          <w:szCs w:val="24"/>
          <w:lang w:val="en-IE" w:eastAsia="zh-CN"/>
        </w:rPr>
        <w:t xml:space="preserve"> an appeal against th</w:t>
      </w:r>
      <w:r w:rsidR="005C01D5" w:rsidRPr="00BD00A9">
        <w:rPr>
          <w:rFonts w:ascii="Times New Roman" w:eastAsiaTheme="minorEastAsia" w:hAnsi="Times New Roman"/>
          <w:noProof/>
          <w:sz w:val="24"/>
          <w:szCs w:val="24"/>
          <w:lang w:val="en-IE" w:eastAsia="zh-CN"/>
        </w:rPr>
        <w:t>is</w:t>
      </w:r>
      <w:r w:rsidR="00D13440" w:rsidRPr="00BD00A9">
        <w:rPr>
          <w:rFonts w:ascii="Times New Roman" w:eastAsiaTheme="minorEastAsia" w:hAnsi="Times New Roman"/>
          <w:noProof/>
          <w:sz w:val="24"/>
          <w:szCs w:val="24"/>
          <w:lang w:val="en-IE" w:eastAsia="zh-CN"/>
        </w:rPr>
        <w:t xml:space="preserve"> judgment of the General Court.</w:t>
      </w:r>
    </w:p>
    <w:p w14:paraId="3A6E05C8" w14:textId="55081BE9" w:rsidR="0023008D" w:rsidRPr="00BD00A9" w:rsidRDefault="009175EC" w:rsidP="009175EC">
      <w:pPr>
        <w:pStyle w:val="Heading1"/>
        <w:rPr>
          <w:rFonts w:eastAsiaTheme="minorEastAsia"/>
        </w:rPr>
      </w:pPr>
      <w:bookmarkStart w:id="103" w:name="_Toc150854738"/>
      <w:bookmarkStart w:id="104" w:name="_Toc152502519"/>
      <w:r w:rsidRPr="00BD00A9">
        <w:rPr>
          <w:rFonts w:eastAsiaTheme="minorEastAsia"/>
        </w:rPr>
        <w:t>Conclusions</w:t>
      </w:r>
      <w:bookmarkEnd w:id="103"/>
      <w:bookmarkEnd w:id="104"/>
    </w:p>
    <w:p w14:paraId="73C634B6" w14:textId="4849E22D" w:rsidR="00334C28" w:rsidRPr="00BD00A9" w:rsidRDefault="00334C28" w:rsidP="00334C28">
      <w:pPr>
        <w:spacing w:after="240" w:line="276" w:lineRule="auto"/>
        <w:jc w:val="both"/>
        <w:rPr>
          <w:rFonts w:ascii="Times New Roman" w:eastAsiaTheme="minorEastAsia" w:hAnsi="Times New Roman"/>
          <w:noProof/>
          <w:sz w:val="24"/>
          <w:szCs w:val="24"/>
          <w:lang w:val="en-IE" w:eastAsia="zh-CN"/>
        </w:rPr>
      </w:pPr>
      <w:r w:rsidRPr="00BD00A9">
        <w:rPr>
          <w:rFonts w:ascii="Times New Roman" w:eastAsiaTheme="minorEastAsia" w:hAnsi="Times New Roman"/>
          <w:noProof/>
          <w:sz w:val="24"/>
          <w:szCs w:val="24"/>
          <w:lang w:val="en-IE" w:eastAsia="zh-CN"/>
        </w:rPr>
        <w:t xml:space="preserve">Since the last </w:t>
      </w:r>
      <w:r w:rsidR="0086418B" w:rsidRPr="00BD00A9">
        <w:rPr>
          <w:rFonts w:ascii="Times New Roman" w:hAnsi="Times New Roman"/>
          <w:noProof/>
          <w:sz w:val="24"/>
          <w:szCs w:val="24"/>
          <w:lang w:val="en-IE"/>
        </w:rPr>
        <w:t xml:space="preserve">progress Report </w:t>
      </w:r>
      <w:r w:rsidR="007977D7" w:rsidRPr="00BD00A9">
        <w:rPr>
          <w:rFonts w:ascii="Times New Roman" w:hAnsi="Times New Roman"/>
          <w:noProof/>
          <w:sz w:val="24"/>
          <w:szCs w:val="24"/>
          <w:lang w:val="en-IE"/>
        </w:rPr>
        <w:t>under</w:t>
      </w:r>
      <w:r w:rsidR="0086418B" w:rsidRPr="00BD00A9">
        <w:rPr>
          <w:rFonts w:ascii="Times New Roman" w:hAnsi="Times New Roman"/>
          <w:noProof/>
          <w:sz w:val="24"/>
          <w:szCs w:val="24"/>
          <w:lang w:val="en-IE"/>
        </w:rPr>
        <w:t xml:space="preserve"> Article 25 TFEU</w:t>
      </w:r>
      <w:r w:rsidR="0086418B" w:rsidRPr="00BD00A9">
        <w:rPr>
          <w:rFonts w:ascii="Times New Roman" w:eastAsiaTheme="minorEastAsia" w:hAnsi="Times New Roman"/>
          <w:noProof/>
          <w:sz w:val="24"/>
          <w:szCs w:val="24"/>
          <w:lang w:val="en-IE" w:eastAsia="zh-CN"/>
        </w:rPr>
        <w:t xml:space="preserve"> and the accompanying </w:t>
      </w:r>
      <w:r w:rsidR="0005536F" w:rsidRPr="00BD00A9">
        <w:rPr>
          <w:rFonts w:ascii="Times New Roman" w:hAnsi="Times New Roman"/>
          <w:noProof/>
          <w:sz w:val="24"/>
          <w:szCs w:val="24"/>
          <w:lang w:val="en-IE"/>
        </w:rPr>
        <w:t>‘</w:t>
      </w:r>
      <w:r w:rsidR="0086418B" w:rsidRPr="00BD00A9">
        <w:rPr>
          <w:rFonts w:ascii="Times New Roman" w:hAnsi="Times New Roman"/>
          <w:noProof/>
          <w:sz w:val="24"/>
          <w:szCs w:val="24"/>
          <w:lang w:val="en-IE"/>
        </w:rPr>
        <w:t>EU Citizenship Report 2020</w:t>
      </w:r>
      <w:r w:rsidR="0005536F" w:rsidRPr="00BD00A9">
        <w:rPr>
          <w:rFonts w:ascii="Times New Roman" w:hAnsi="Times New Roman"/>
          <w:noProof/>
          <w:sz w:val="24"/>
          <w:szCs w:val="24"/>
          <w:lang w:val="en-IE"/>
        </w:rPr>
        <w:t>’</w:t>
      </w:r>
      <w:r w:rsidR="0086418B" w:rsidRPr="00BD00A9">
        <w:rPr>
          <w:rFonts w:ascii="Times New Roman" w:hAnsi="Times New Roman"/>
          <w:noProof/>
          <w:sz w:val="24"/>
          <w:szCs w:val="24"/>
          <w:lang w:val="en-IE"/>
        </w:rPr>
        <w:t xml:space="preserve"> Communication</w:t>
      </w:r>
      <w:r w:rsidR="002E1AD5" w:rsidRPr="00BD00A9">
        <w:rPr>
          <w:rFonts w:ascii="Times New Roman" w:hAnsi="Times New Roman"/>
          <w:noProof/>
          <w:sz w:val="24"/>
          <w:szCs w:val="24"/>
          <w:lang w:val="en-IE"/>
        </w:rPr>
        <w:t>,</w:t>
      </w:r>
      <w:r w:rsidR="0086418B" w:rsidRPr="00BD00A9">
        <w:rPr>
          <w:rFonts w:ascii="Times New Roman" w:eastAsiaTheme="minorEastAsia" w:hAnsi="Times New Roman"/>
          <w:noProof/>
          <w:sz w:val="24"/>
          <w:szCs w:val="24"/>
          <w:lang w:val="en-IE" w:eastAsia="zh-CN"/>
        </w:rPr>
        <w:t xml:space="preserve"> </w:t>
      </w:r>
      <w:r w:rsidRPr="00BD00A9">
        <w:rPr>
          <w:rFonts w:ascii="Times New Roman" w:eastAsiaTheme="minorEastAsia" w:hAnsi="Times New Roman"/>
          <w:noProof/>
          <w:sz w:val="24"/>
          <w:szCs w:val="24"/>
          <w:lang w:val="en-IE" w:eastAsia="zh-CN"/>
        </w:rPr>
        <w:t xml:space="preserve">many Commission </w:t>
      </w:r>
      <w:r w:rsidR="006A5F97" w:rsidRPr="00BD00A9">
        <w:rPr>
          <w:rFonts w:ascii="Times New Roman" w:eastAsiaTheme="minorEastAsia" w:hAnsi="Times New Roman"/>
          <w:noProof/>
          <w:sz w:val="24"/>
          <w:szCs w:val="24"/>
          <w:lang w:val="en-IE" w:eastAsia="zh-CN"/>
        </w:rPr>
        <w:t xml:space="preserve">initiatives </w:t>
      </w:r>
      <w:r w:rsidRPr="00BD00A9">
        <w:rPr>
          <w:rFonts w:ascii="Times New Roman" w:eastAsiaTheme="minorEastAsia" w:hAnsi="Times New Roman"/>
          <w:noProof/>
          <w:sz w:val="24"/>
          <w:szCs w:val="24"/>
          <w:lang w:val="en-IE" w:eastAsia="zh-CN"/>
        </w:rPr>
        <w:t xml:space="preserve">have achieved meaningful </w:t>
      </w:r>
      <w:r w:rsidR="006A5F97" w:rsidRPr="00BD00A9">
        <w:rPr>
          <w:rFonts w:ascii="Times New Roman" w:eastAsiaTheme="minorEastAsia" w:hAnsi="Times New Roman"/>
          <w:noProof/>
          <w:sz w:val="24"/>
          <w:szCs w:val="24"/>
          <w:lang w:val="en-IE" w:eastAsia="zh-CN"/>
        </w:rPr>
        <w:t>advances for the rights of</w:t>
      </w:r>
      <w:r w:rsidRPr="00BD00A9">
        <w:rPr>
          <w:rFonts w:ascii="Times New Roman" w:eastAsiaTheme="minorEastAsia" w:hAnsi="Times New Roman"/>
          <w:noProof/>
          <w:sz w:val="24"/>
          <w:szCs w:val="24"/>
          <w:lang w:val="en-IE" w:eastAsia="zh-CN"/>
        </w:rPr>
        <w:t xml:space="preserve"> EU citizens. The security of EU citizens’ identity cards and residence documents has been strengthened, and the EU Digital Identity Wallet will </w:t>
      </w:r>
      <w:r w:rsidR="0005536F" w:rsidRPr="00BD00A9">
        <w:rPr>
          <w:rFonts w:ascii="Times New Roman" w:eastAsiaTheme="minorEastAsia" w:hAnsi="Times New Roman"/>
          <w:noProof/>
          <w:sz w:val="24"/>
          <w:szCs w:val="24"/>
          <w:lang w:val="en-IE" w:eastAsia="zh-CN"/>
        </w:rPr>
        <w:t xml:space="preserve">further </w:t>
      </w:r>
      <w:r w:rsidRPr="00BD00A9">
        <w:rPr>
          <w:rFonts w:ascii="Times New Roman" w:eastAsiaTheme="minorEastAsia" w:hAnsi="Times New Roman"/>
          <w:noProof/>
          <w:sz w:val="24"/>
          <w:szCs w:val="24"/>
          <w:lang w:val="en-IE" w:eastAsia="zh-CN"/>
        </w:rPr>
        <w:t xml:space="preserve">simplify citizens everyday lives. </w:t>
      </w:r>
      <w:r w:rsidR="00B754FB" w:rsidRPr="00BD00A9">
        <w:rPr>
          <w:rFonts w:ascii="Times New Roman" w:eastAsiaTheme="minorEastAsia" w:hAnsi="Times New Roman"/>
          <w:noProof/>
          <w:sz w:val="24"/>
          <w:szCs w:val="24"/>
          <w:lang w:val="en-IE" w:eastAsia="zh-CN"/>
        </w:rPr>
        <w:t xml:space="preserve">In addition, the EU Digital COVID Certificate facilitated the exercise of free movement during the COVID-19 pandemic. </w:t>
      </w:r>
      <w:r w:rsidRPr="00BD00A9">
        <w:rPr>
          <w:rFonts w:ascii="Times New Roman" w:eastAsiaTheme="minorEastAsia" w:hAnsi="Times New Roman"/>
          <w:noProof/>
          <w:sz w:val="24"/>
          <w:szCs w:val="24"/>
          <w:lang w:val="en-IE" w:eastAsia="zh-CN"/>
        </w:rPr>
        <w:t xml:space="preserve">The Commission has </w:t>
      </w:r>
      <w:r w:rsidR="00DD383D">
        <w:rPr>
          <w:rFonts w:ascii="Times New Roman" w:eastAsiaTheme="minorEastAsia" w:hAnsi="Times New Roman"/>
          <w:noProof/>
          <w:sz w:val="24"/>
          <w:szCs w:val="24"/>
          <w:lang w:val="en-IE" w:eastAsia="zh-CN"/>
        </w:rPr>
        <w:t xml:space="preserve">also </w:t>
      </w:r>
      <w:r w:rsidRPr="00BD00A9">
        <w:rPr>
          <w:rFonts w:ascii="Times New Roman" w:eastAsiaTheme="minorEastAsia" w:hAnsi="Times New Roman"/>
          <w:noProof/>
          <w:sz w:val="24"/>
          <w:szCs w:val="24"/>
          <w:lang w:val="en-IE" w:eastAsia="zh-CN"/>
        </w:rPr>
        <w:t xml:space="preserve">adopted initiatives to address the difficulties faced by mobile EU citizens </w:t>
      </w:r>
      <w:r w:rsidR="006A5F97" w:rsidRPr="00BD00A9">
        <w:rPr>
          <w:rFonts w:ascii="Times New Roman" w:eastAsiaTheme="minorEastAsia" w:hAnsi="Times New Roman"/>
          <w:noProof/>
          <w:sz w:val="24"/>
          <w:szCs w:val="24"/>
          <w:lang w:val="en-IE" w:eastAsia="zh-CN"/>
        </w:rPr>
        <w:t xml:space="preserve">seeking </w:t>
      </w:r>
      <w:r w:rsidRPr="00BD00A9">
        <w:rPr>
          <w:rFonts w:ascii="Times New Roman" w:eastAsiaTheme="minorEastAsia" w:hAnsi="Times New Roman"/>
          <w:noProof/>
          <w:sz w:val="24"/>
          <w:szCs w:val="24"/>
          <w:lang w:val="en-IE" w:eastAsia="zh-CN"/>
        </w:rPr>
        <w:t xml:space="preserve">to exercise their right to vote and stand as candidates in </w:t>
      </w:r>
      <w:r w:rsidR="00875012" w:rsidRPr="00BD00A9">
        <w:rPr>
          <w:rFonts w:ascii="Times New Roman" w:eastAsiaTheme="minorEastAsia" w:hAnsi="Times New Roman"/>
          <w:noProof/>
          <w:sz w:val="24"/>
          <w:szCs w:val="24"/>
          <w:lang w:val="en-IE" w:eastAsia="zh-CN"/>
        </w:rPr>
        <w:t xml:space="preserve">elections to the </w:t>
      </w:r>
      <w:r w:rsidRPr="00BD00A9">
        <w:rPr>
          <w:rFonts w:ascii="Times New Roman" w:eastAsiaTheme="minorEastAsia" w:hAnsi="Times New Roman"/>
          <w:noProof/>
          <w:sz w:val="24"/>
          <w:szCs w:val="24"/>
          <w:lang w:val="en-IE" w:eastAsia="zh-CN"/>
        </w:rPr>
        <w:t xml:space="preserve">European Parliament and </w:t>
      </w:r>
      <w:r w:rsidR="00875012" w:rsidRPr="00BD00A9">
        <w:rPr>
          <w:rFonts w:ascii="Times New Roman" w:eastAsiaTheme="minorEastAsia" w:hAnsi="Times New Roman"/>
          <w:noProof/>
          <w:sz w:val="24"/>
          <w:szCs w:val="24"/>
          <w:lang w:val="en-IE" w:eastAsia="zh-CN"/>
        </w:rPr>
        <w:t>municipal</w:t>
      </w:r>
      <w:r w:rsidRPr="00BD00A9">
        <w:rPr>
          <w:rFonts w:ascii="Times New Roman" w:eastAsiaTheme="minorEastAsia" w:hAnsi="Times New Roman"/>
          <w:noProof/>
          <w:sz w:val="24"/>
          <w:szCs w:val="24"/>
          <w:lang w:val="en-IE" w:eastAsia="zh-CN"/>
        </w:rPr>
        <w:t xml:space="preserve"> elections and has made it easier to run or support European Citizens’ Initiatives.</w:t>
      </w:r>
      <w:r w:rsidR="00B754FB" w:rsidRPr="00BD00A9">
        <w:rPr>
          <w:rFonts w:ascii="Times New Roman" w:eastAsiaTheme="minorEastAsia" w:hAnsi="Times New Roman"/>
          <w:noProof/>
          <w:sz w:val="24"/>
          <w:szCs w:val="24"/>
          <w:lang w:val="en-IE" w:eastAsia="zh-CN"/>
        </w:rPr>
        <w:t xml:space="preserve"> </w:t>
      </w:r>
    </w:p>
    <w:p w14:paraId="15E10F46" w14:textId="495D33C1" w:rsidR="00334C28" w:rsidRPr="00BD00A9" w:rsidRDefault="00334C28" w:rsidP="00334C28">
      <w:pPr>
        <w:spacing w:after="240" w:line="276" w:lineRule="auto"/>
        <w:jc w:val="both"/>
        <w:rPr>
          <w:rFonts w:ascii="Times New Roman" w:eastAsiaTheme="minorEastAsia" w:hAnsi="Times New Roman"/>
          <w:noProof/>
          <w:sz w:val="24"/>
          <w:szCs w:val="24"/>
          <w:lang w:val="en-IE" w:eastAsia="zh-CN"/>
        </w:rPr>
      </w:pPr>
      <w:r w:rsidRPr="00BD00A9">
        <w:rPr>
          <w:rFonts w:ascii="Times New Roman" w:eastAsiaTheme="minorEastAsia" w:hAnsi="Times New Roman"/>
          <w:noProof/>
          <w:sz w:val="24"/>
          <w:szCs w:val="24"/>
          <w:lang w:val="en-IE" w:eastAsia="zh-CN"/>
        </w:rPr>
        <w:t xml:space="preserve">Moreover, the Commission has worked </w:t>
      </w:r>
      <w:r w:rsidR="006A5F97" w:rsidRPr="00BD00A9">
        <w:rPr>
          <w:rFonts w:ascii="Times New Roman" w:eastAsiaTheme="minorEastAsia" w:hAnsi="Times New Roman"/>
          <w:noProof/>
          <w:sz w:val="24"/>
          <w:szCs w:val="24"/>
          <w:lang w:val="en-IE" w:eastAsia="zh-CN"/>
        </w:rPr>
        <w:t xml:space="preserve">to </w:t>
      </w:r>
      <w:r w:rsidR="004C54A8" w:rsidRPr="00BD00A9">
        <w:rPr>
          <w:rFonts w:ascii="Times New Roman" w:eastAsiaTheme="minorEastAsia" w:hAnsi="Times New Roman"/>
          <w:noProof/>
          <w:sz w:val="24"/>
          <w:szCs w:val="24"/>
          <w:lang w:val="en-IE" w:eastAsia="zh-CN"/>
        </w:rPr>
        <w:t>step up</w:t>
      </w:r>
      <w:r w:rsidR="006A5F97" w:rsidRPr="00BD00A9">
        <w:rPr>
          <w:rFonts w:ascii="Times New Roman" w:eastAsiaTheme="minorEastAsia" w:hAnsi="Times New Roman"/>
          <w:noProof/>
          <w:sz w:val="24"/>
          <w:szCs w:val="24"/>
          <w:lang w:val="en-IE" w:eastAsia="zh-CN"/>
        </w:rPr>
        <w:t xml:space="preserve"> </w:t>
      </w:r>
      <w:r w:rsidRPr="00BD00A9">
        <w:rPr>
          <w:rFonts w:ascii="Times New Roman" w:eastAsiaTheme="minorEastAsia" w:hAnsi="Times New Roman"/>
          <w:noProof/>
          <w:sz w:val="24"/>
          <w:szCs w:val="24"/>
          <w:lang w:val="en-IE" w:eastAsia="zh-CN"/>
        </w:rPr>
        <w:t>inclusive democra</w:t>
      </w:r>
      <w:r w:rsidR="004C54A8" w:rsidRPr="00BD00A9">
        <w:rPr>
          <w:rFonts w:ascii="Times New Roman" w:eastAsiaTheme="minorEastAsia" w:hAnsi="Times New Roman"/>
          <w:noProof/>
          <w:sz w:val="24"/>
          <w:szCs w:val="24"/>
          <w:lang w:val="en-IE" w:eastAsia="zh-CN"/>
        </w:rPr>
        <w:t>tic processes</w:t>
      </w:r>
      <w:r w:rsidRPr="00BD00A9">
        <w:rPr>
          <w:rFonts w:ascii="Times New Roman" w:eastAsiaTheme="minorEastAsia" w:hAnsi="Times New Roman"/>
          <w:noProof/>
          <w:sz w:val="24"/>
          <w:szCs w:val="24"/>
          <w:lang w:val="en-IE" w:eastAsia="zh-CN"/>
        </w:rPr>
        <w:t xml:space="preserve"> and </w:t>
      </w:r>
      <w:r w:rsidR="004C54A8" w:rsidRPr="00BD00A9">
        <w:rPr>
          <w:rFonts w:ascii="Times New Roman" w:eastAsiaTheme="minorEastAsia" w:hAnsi="Times New Roman"/>
          <w:noProof/>
          <w:sz w:val="24"/>
          <w:szCs w:val="24"/>
          <w:lang w:val="en-IE" w:eastAsia="zh-CN"/>
        </w:rPr>
        <w:t xml:space="preserve">ensure </w:t>
      </w:r>
      <w:r w:rsidRPr="00BD00A9">
        <w:rPr>
          <w:rFonts w:ascii="Times New Roman" w:eastAsiaTheme="minorEastAsia" w:hAnsi="Times New Roman"/>
          <w:noProof/>
          <w:sz w:val="24"/>
          <w:szCs w:val="24"/>
          <w:lang w:val="en-IE" w:eastAsia="zh-CN"/>
        </w:rPr>
        <w:t xml:space="preserve">equal opportunities in elections, guaranteeing that every citizen can participate in the </w:t>
      </w:r>
      <w:r w:rsidR="006A5F97" w:rsidRPr="00BD00A9">
        <w:rPr>
          <w:rFonts w:ascii="Times New Roman" w:eastAsiaTheme="minorEastAsia" w:hAnsi="Times New Roman"/>
          <w:noProof/>
          <w:sz w:val="24"/>
          <w:szCs w:val="24"/>
          <w:lang w:val="en-IE" w:eastAsia="zh-CN"/>
        </w:rPr>
        <w:t xml:space="preserve">EU’s </w:t>
      </w:r>
      <w:r w:rsidRPr="00BD00A9">
        <w:rPr>
          <w:rFonts w:ascii="Times New Roman" w:eastAsiaTheme="minorEastAsia" w:hAnsi="Times New Roman"/>
          <w:noProof/>
          <w:sz w:val="24"/>
          <w:szCs w:val="24"/>
          <w:lang w:val="en-IE" w:eastAsia="zh-CN"/>
        </w:rPr>
        <w:t>democratic life. Building on the European Democracy Action Plan, the Commission adopted</w:t>
      </w:r>
      <w:r w:rsidR="006A5F97" w:rsidRPr="00BD00A9">
        <w:rPr>
          <w:rFonts w:ascii="Times New Roman" w:eastAsiaTheme="minorEastAsia" w:hAnsi="Times New Roman"/>
          <w:noProof/>
          <w:sz w:val="24"/>
          <w:szCs w:val="24"/>
          <w:lang w:val="en-IE" w:eastAsia="zh-CN"/>
        </w:rPr>
        <w:t xml:space="preserve"> </w:t>
      </w:r>
      <w:r w:rsidRPr="00BD00A9">
        <w:rPr>
          <w:rFonts w:ascii="Times New Roman" w:eastAsiaTheme="minorEastAsia" w:hAnsi="Times New Roman"/>
          <w:noProof/>
          <w:sz w:val="24"/>
          <w:szCs w:val="24"/>
          <w:lang w:val="en-IE" w:eastAsia="zh-CN"/>
        </w:rPr>
        <w:t xml:space="preserve">a flagship legislative proposal on transparency and targeting of political advertising. The Commission also </w:t>
      </w:r>
      <w:r w:rsidR="0005536F" w:rsidRPr="00BD00A9">
        <w:rPr>
          <w:rFonts w:ascii="Times New Roman" w:eastAsiaTheme="minorEastAsia" w:hAnsi="Times New Roman"/>
          <w:noProof/>
          <w:sz w:val="24"/>
          <w:szCs w:val="24"/>
          <w:lang w:val="en-IE" w:eastAsia="zh-CN"/>
        </w:rPr>
        <w:t xml:space="preserve">made </w:t>
      </w:r>
      <w:r w:rsidRPr="00BD00A9">
        <w:rPr>
          <w:rFonts w:ascii="Times New Roman" w:eastAsiaTheme="minorEastAsia" w:hAnsi="Times New Roman"/>
          <w:noProof/>
          <w:sz w:val="24"/>
          <w:szCs w:val="24"/>
          <w:lang w:val="en-IE" w:eastAsia="zh-CN"/>
        </w:rPr>
        <w:t>progress on increasing citizens’ involvement at all stages of the democratic process, including with the European Citizens’ Panels.</w:t>
      </w:r>
    </w:p>
    <w:p w14:paraId="7613AC4B" w14:textId="3B334AFA" w:rsidR="00334C28" w:rsidRPr="00BD00A9" w:rsidRDefault="00334C28" w:rsidP="00334C28">
      <w:pPr>
        <w:spacing w:after="240" w:line="276" w:lineRule="auto"/>
        <w:jc w:val="both"/>
        <w:rPr>
          <w:rFonts w:ascii="Times New Roman" w:eastAsiaTheme="minorEastAsia" w:hAnsi="Times New Roman"/>
          <w:noProof/>
          <w:sz w:val="24"/>
          <w:szCs w:val="24"/>
          <w:lang w:val="en-IE" w:eastAsia="zh-CN"/>
        </w:rPr>
      </w:pPr>
      <w:bookmarkStart w:id="105" w:name="_Hlk150791589"/>
      <w:r w:rsidRPr="00BD00A9">
        <w:rPr>
          <w:rFonts w:ascii="Times New Roman" w:eastAsiaTheme="minorEastAsia" w:hAnsi="Times New Roman"/>
          <w:noProof/>
          <w:sz w:val="24"/>
          <w:szCs w:val="24"/>
          <w:lang w:val="en-IE" w:eastAsia="zh-CN"/>
        </w:rPr>
        <w:t xml:space="preserve">In addition, the Commission has continued to work towards achieving a true </w:t>
      </w:r>
      <w:r w:rsidR="0005536F" w:rsidRPr="00BD00A9">
        <w:rPr>
          <w:rFonts w:ascii="Times New Roman" w:eastAsiaTheme="minorEastAsia" w:hAnsi="Times New Roman"/>
          <w:noProof/>
          <w:sz w:val="24"/>
          <w:szCs w:val="24"/>
          <w:lang w:val="en-IE" w:eastAsia="zh-CN"/>
        </w:rPr>
        <w:t>U</w:t>
      </w:r>
      <w:r w:rsidRPr="00BD00A9">
        <w:rPr>
          <w:rFonts w:ascii="Times New Roman" w:eastAsiaTheme="minorEastAsia" w:hAnsi="Times New Roman"/>
          <w:noProof/>
          <w:sz w:val="24"/>
          <w:szCs w:val="24"/>
          <w:lang w:val="en-IE" w:eastAsia="zh-CN"/>
        </w:rPr>
        <w:t xml:space="preserve">nion of </w:t>
      </w:r>
      <w:r w:rsidR="005C01D5" w:rsidRPr="00BD00A9">
        <w:rPr>
          <w:rFonts w:ascii="Times New Roman" w:eastAsiaTheme="minorEastAsia" w:hAnsi="Times New Roman"/>
          <w:noProof/>
          <w:sz w:val="24"/>
          <w:szCs w:val="24"/>
          <w:lang w:val="en-IE" w:eastAsia="zh-CN"/>
        </w:rPr>
        <w:t>E</w:t>
      </w:r>
      <w:r w:rsidRPr="00BD00A9">
        <w:rPr>
          <w:rFonts w:ascii="Times New Roman" w:eastAsiaTheme="minorEastAsia" w:hAnsi="Times New Roman"/>
          <w:noProof/>
          <w:sz w:val="24"/>
          <w:szCs w:val="24"/>
          <w:lang w:val="en-IE" w:eastAsia="zh-CN"/>
        </w:rPr>
        <w:t>quality</w:t>
      </w:r>
      <w:bookmarkEnd w:id="105"/>
      <w:r w:rsidRPr="00BD00A9">
        <w:rPr>
          <w:rFonts w:ascii="Times New Roman" w:eastAsiaTheme="minorEastAsia" w:hAnsi="Times New Roman"/>
          <w:noProof/>
          <w:sz w:val="24"/>
          <w:szCs w:val="24"/>
          <w:lang w:val="en-IE" w:eastAsia="zh-CN"/>
        </w:rPr>
        <w:t xml:space="preserve">. It has proposed </w:t>
      </w:r>
      <w:r w:rsidR="0005536F" w:rsidRPr="00BD00A9">
        <w:rPr>
          <w:rFonts w:ascii="Times New Roman" w:eastAsiaTheme="minorEastAsia" w:hAnsi="Times New Roman"/>
          <w:noProof/>
          <w:sz w:val="24"/>
          <w:szCs w:val="24"/>
          <w:lang w:val="en-IE" w:eastAsia="zh-CN"/>
        </w:rPr>
        <w:t>various</w:t>
      </w:r>
      <w:r w:rsidRPr="00BD00A9">
        <w:rPr>
          <w:rFonts w:ascii="Times New Roman" w:eastAsiaTheme="minorEastAsia" w:hAnsi="Times New Roman"/>
          <w:noProof/>
          <w:sz w:val="24"/>
          <w:szCs w:val="24"/>
          <w:lang w:val="en-IE" w:eastAsia="zh-CN"/>
        </w:rPr>
        <w:t xml:space="preserve"> new equality and anti-discrimination measures, including on </w:t>
      </w:r>
      <w:r w:rsidR="0005536F" w:rsidRPr="00BD00A9">
        <w:rPr>
          <w:rFonts w:ascii="Times New Roman" w:eastAsiaTheme="minorEastAsia" w:hAnsi="Times New Roman"/>
          <w:noProof/>
          <w:sz w:val="24"/>
          <w:szCs w:val="24"/>
          <w:lang w:val="en-IE" w:eastAsia="zh-CN"/>
        </w:rPr>
        <w:t xml:space="preserve">measures on </w:t>
      </w:r>
      <w:r w:rsidRPr="00BD00A9">
        <w:rPr>
          <w:rFonts w:ascii="Times New Roman" w:eastAsiaTheme="minorEastAsia" w:hAnsi="Times New Roman"/>
          <w:noProof/>
          <w:sz w:val="24"/>
          <w:szCs w:val="24"/>
          <w:lang w:val="en-IE" w:eastAsia="zh-CN"/>
        </w:rPr>
        <w:t xml:space="preserve">equality bodies, </w:t>
      </w:r>
      <w:r w:rsidR="0005536F" w:rsidRPr="00BD00A9">
        <w:rPr>
          <w:rFonts w:ascii="Times New Roman" w:eastAsiaTheme="minorEastAsia" w:hAnsi="Times New Roman"/>
          <w:noProof/>
          <w:sz w:val="24"/>
          <w:szCs w:val="24"/>
          <w:lang w:val="en-IE" w:eastAsia="zh-CN"/>
        </w:rPr>
        <w:t>protecting</w:t>
      </w:r>
      <w:r w:rsidR="00B754FB" w:rsidRPr="00BD00A9">
        <w:rPr>
          <w:rFonts w:ascii="Times New Roman" w:eastAsiaTheme="minorEastAsia" w:hAnsi="Times New Roman"/>
          <w:noProof/>
          <w:sz w:val="24"/>
          <w:szCs w:val="24"/>
          <w:lang w:val="en-IE" w:eastAsia="zh-CN"/>
        </w:rPr>
        <w:t xml:space="preserve"> the rights of LGBTIQ people,</w:t>
      </w:r>
      <w:r w:rsidR="004C54A8" w:rsidRPr="00BD00A9">
        <w:rPr>
          <w:rFonts w:ascii="Times New Roman" w:eastAsiaTheme="minorEastAsia" w:hAnsi="Times New Roman"/>
          <w:noProof/>
          <w:sz w:val="24"/>
          <w:szCs w:val="24"/>
          <w:lang w:val="en-IE" w:eastAsia="zh-CN"/>
        </w:rPr>
        <w:t xml:space="preserve"> promoting gender equality and</w:t>
      </w:r>
      <w:r w:rsidR="00B754FB" w:rsidRPr="00BD00A9">
        <w:rPr>
          <w:rFonts w:ascii="Times New Roman" w:eastAsiaTheme="minorEastAsia" w:hAnsi="Times New Roman"/>
          <w:noProof/>
          <w:sz w:val="24"/>
          <w:szCs w:val="24"/>
          <w:lang w:val="en-IE" w:eastAsia="zh-CN"/>
        </w:rPr>
        <w:t xml:space="preserve"> </w:t>
      </w:r>
      <w:r w:rsidRPr="00BD00A9">
        <w:rPr>
          <w:rFonts w:ascii="Times New Roman" w:eastAsiaTheme="minorEastAsia" w:hAnsi="Times New Roman"/>
          <w:noProof/>
          <w:sz w:val="24"/>
          <w:szCs w:val="24"/>
          <w:lang w:val="en-IE" w:eastAsia="zh-CN"/>
        </w:rPr>
        <w:t>fighting violence against women</w:t>
      </w:r>
      <w:r w:rsidR="005C01D5" w:rsidRPr="00BD00A9">
        <w:rPr>
          <w:rFonts w:ascii="Times New Roman" w:eastAsiaTheme="minorEastAsia" w:hAnsi="Times New Roman"/>
          <w:noProof/>
          <w:sz w:val="24"/>
          <w:szCs w:val="24"/>
          <w:lang w:val="en-IE" w:eastAsia="zh-CN"/>
        </w:rPr>
        <w:t xml:space="preserve"> and domestic violence</w:t>
      </w:r>
      <w:r w:rsidRPr="00BD00A9">
        <w:rPr>
          <w:rFonts w:ascii="Times New Roman" w:eastAsiaTheme="minorEastAsia" w:hAnsi="Times New Roman"/>
          <w:noProof/>
          <w:sz w:val="24"/>
          <w:szCs w:val="24"/>
          <w:lang w:val="en-IE" w:eastAsia="zh-CN"/>
        </w:rPr>
        <w:t>,</w:t>
      </w:r>
      <w:r w:rsidR="00B754FB" w:rsidRPr="00BD00A9">
        <w:rPr>
          <w:rFonts w:ascii="Times New Roman" w:eastAsiaTheme="minorEastAsia" w:hAnsi="Times New Roman"/>
          <w:noProof/>
          <w:sz w:val="24"/>
          <w:szCs w:val="24"/>
          <w:lang w:val="en-IE" w:eastAsia="zh-CN"/>
        </w:rPr>
        <w:t xml:space="preserve"> ensuring meaningful participation of Roma in society,</w:t>
      </w:r>
      <w:r w:rsidRPr="00BD00A9">
        <w:rPr>
          <w:rFonts w:ascii="Times New Roman" w:eastAsiaTheme="minorEastAsia" w:hAnsi="Times New Roman"/>
          <w:noProof/>
          <w:sz w:val="24"/>
          <w:szCs w:val="24"/>
          <w:lang w:val="en-IE" w:eastAsia="zh-CN"/>
        </w:rPr>
        <w:t xml:space="preserve"> and addressing racism</w:t>
      </w:r>
      <w:r w:rsidR="004C54A8" w:rsidRPr="00BD00A9">
        <w:rPr>
          <w:rFonts w:ascii="Times New Roman" w:eastAsiaTheme="minorEastAsia" w:hAnsi="Times New Roman"/>
          <w:noProof/>
          <w:sz w:val="24"/>
          <w:szCs w:val="24"/>
          <w:lang w:val="en-IE" w:eastAsia="zh-CN"/>
        </w:rPr>
        <w:t xml:space="preserve">, </w:t>
      </w:r>
      <w:r w:rsidR="00453985" w:rsidRPr="00BD00A9">
        <w:rPr>
          <w:rFonts w:ascii="Times New Roman" w:eastAsiaTheme="minorEastAsia" w:hAnsi="Times New Roman"/>
          <w:noProof/>
          <w:sz w:val="24"/>
          <w:szCs w:val="24"/>
          <w:lang w:val="en-IE" w:eastAsia="zh-CN"/>
        </w:rPr>
        <w:t>antigypsyism,</w:t>
      </w:r>
      <w:r w:rsidR="0082334E" w:rsidRPr="00BD00A9">
        <w:rPr>
          <w:rFonts w:ascii="Times New Roman" w:eastAsiaTheme="minorEastAsia" w:hAnsi="Times New Roman"/>
          <w:noProof/>
          <w:sz w:val="24"/>
          <w:szCs w:val="24"/>
          <w:lang w:val="en-IE" w:eastAsia="zh-CN"/>
        </w:rPr>
        <w:t xml:space="preserve"> </w:t>
      </w:r>
      <w:r w:rsidR="00B754FB" w:rsidRPr="00BD00A9">
        <w:rPr>
          <w:rFonts w:ascii="Times New Roman" w:eastAsiaTheme="minorEastAsia" w:hAnsi="Times New Roman"/>
          <w:noProof/>
          <w:sz w:val="24"/>
          <w:szCs w:val="24"/>
          <w:lang w:val="en-IE" w:eastAsia="zh-CN"/>
        </w:rPr>
        <w:t>antisemitism</w:t>
      </w:r>
      <w:r w:rsidR="004C54A8" w:rsidRPr="00BD00A9">
        <w:rPr>
          <w:rFonts w:ascii="Times New Roman" w:eastAsiaTheme="minorEastAsia" w:hAnsi="Times New Roman"/>
          <w:noProof/>
          <w:sz w:val="24"/>
          <w:szCs w:val="24"/>
          <w:lang w:val="en-IE" w:eastAsia="zh-CN"/>
        </w:rPr>
        <w:t xml:space="preserve"> and anti-Muslim hatred</w:t>
      </w:r>
      <w:r w:rsidRPr="00BD00A9">
        <w:rPr>
          <w:rFonts w:ascii="Times New Roman" w:eastAsiaTheme="minorEastAsia" w:hAnsi="Times New Roman"/>
          <w:noProof/>
          <w:sz w:val="24"/>
          <w:szCs w:val="24"/>
          <w:lang w:val="en-IE" w:eastAsia="zh-CN"/>
        </w:rPr>
        <w:t>. The Commission has worked on improving the rights of persons with disabilities by adopting specific tools to support their inclusion.</w:t>
      </w:r>
      <w:r w:rsidR="00B754FB" w:rsidRPr="00BD00A9">
        <w:rPr>
          <w:rFonts w:ascii="Times New Roman" w:eastAsiaTheme="minorEastAsia" w:hAnsi="Times New Roman"/>
          <w:noProof/>
          <w:sz w:val="24"/>
          <w:szCs w:val="24"/>
          <w:lang w:val="en-IE" w:eastAsia="zh-CN"/>
        </w:rPr>
        <w:t xml:space="preserve"> </w:t>
      </w:r>
      <w:r w:rsidR="00B754FB" w:rsidRPr="00BD00A9">
        <w:rPr>
          <w:rFonts w:ascii="Times New Roman" w:eastAsia="Calibri" w:hAnsi="Times New Roman" w:cs="Times New Roman"/>
          <w:noProof/>
          <w:sz w:val="24"/>
          <w:szCs w:val="24"/>
          <w:shd w:val="clear" w:color="auto" w:fill="FFFFFF"/>
          <w:lang w:val="en-IE"/>
        </w:rPr>
        <w:t xml:space="preserve">The Commission </w:t>
      </w:r>
      <w:r w:rsidR="0005536F" w:rsidRPr="00BD00A9">
        <w:rPr>
          <w:rFonts w:ascii="Times New Roman" w:eastAsia="Calibri" w:hAnsi="Times New Roman" w:cs="Times New Roman"/>
          <w:noProof/>
          <w:sz w:val="24"/>
          <w:szCs w:val="24"/>
          <w:shd w:val="clear" w:color="auto" w:fill="FFFFFF"/>
          <w:lang w:val="en-IE"/>
        </w:rPr>
        <w:t xml:space="preserve">has </w:t>
      </w:r>
      <w:r w:rsidR="00B754FB" w:rsidRPr="00BD00A9">
        <w:rPr>
          <w:rFonts w:ascii="Times New Roman" w:eastAsia="Calibri" w:hAnsi="Times New Roman" w:cs="Times New Roman"/>
          <w:noProof/>
          <w:sz w:val="24"/>
          <w:szCs w:val="24"/>
          <w:shd w:val="clear" w:color="auto" w:fill="FFFFFF"/>
          <w:lang w:val="en-IE"/>
        </w:rPr>
        <w:t>continued its efforts to ensure that hate speech and hate crime are criminalised</w:t>
      </w:r>
      <w:r w:rsidR="0005536F" w:rsidRPr="00BD00A9">
        <w:rPr>
          <w:rFonts w:ascii="Times New Roman" w:eastAsia="Calibri" w:hAnsi="Times New Roman" w:cs="Times New Roman"/>
          <w:noProof/>
          <w:sz w:val="24"/>
          <w:szCs w:val="24"/>
          <w:shd w:val="clear" w:color="auto" w:fill="FFFFFF"/>
          <w:lang w:val="en-IE"/>
        </w:rPr>
        <w:t xml:space="preserve"> throughout the EU</w:t>
      </w:r>
      <w:r w:rsidR="00B754FB" w:rsidRPr="00BD00A9">
        <w:rPr>
          <w:rFonts w:ascii="Times New Roman" w:eastAsia="Calibri" w:hAnsi="Times New Roman" w:cs="Times New Roman"/>
          <w:noProof/>
          <w:sz w:val="24"/>
          <w:szCs w:val="24"/>
          <w:shd w:val="clear" w:color="auto" w:fill="FFFFFF"/>
          <w:lang w:val="en-IE"/>
        </w:rPr>
        <w:t xml:space="preserve">. </w:t>
      </w:r>
      <w:r w:rsidR="00B754FB" w:rsidRPr="00BD00A9">
        <w:rPr>
          <w:rFonts w:ascii="Times New Roman" w:eastAsiaTheme="minorEastAsia" w:hAnsi="Times New Roman"/>
          <w:noProof/>
          <w:sz w:val="24"/>
          <w:szCs w:val="24"/>
          <w:lang w:val="en-IE" w:eastAsia="zh-CN"/>
        </w:rPr>
        <w:t xml:space="preserve"> </w:t>
      </w:r>
    </w:p>
    <w:p w14:paraId="6BC5BE77" w14:textId="500DC853" w:rsidR="00334C28" w:rsidRPr="00BD00A9" w:rsidRDefault="00730647" w:rsidP="00334C28">
      <w:pPr>
        <w:spacing w:after="240" w:line="276" w:lineRule="auto"/>
        <w:jc w:val="both"/>
        <w:rPr>
          <w:rFonts w:ascii="Times New Roman" w:hAnsi="Times New Roman"/>
          <w:noProof/>
          <w:sz w:val="24"/>
          <w:szCs w:val="24"/>
          <w:lang w:val="en-IE"/>
        </w:rPr>
      </w:pPr>
      <w:r w:rsidRPr="00BD00A9">
        <w:rPr>
          <w:rFonts w:ascii="Times New Roman" w:eastAsiaTheme="minorEastAsia" w:hAnsi="Times New Roman"/>
          <w:noProof/>
          <w:sz w:val="24"/>
          <w:szCs w:val="24"/>
          <w:lang w:val="en-IE" w:eastAsia="zh-CN"/>
        </w:rPr>
        <w:t>The Citizenship Package that is presented together with this report, will further advance EU citizenship rights</w:t>
      </w:r>
      <w:r w:rsidR="0005536F" w:rsidRPr="00BD00A9">
        <w:rPr>
          <w:rFonts w:ascii="Times New Roman" w:eastAsiaTheme="minorEastAsia" w:hAnsi="Times New Roman"/>
          <w:noProof/>
          <w:sz w:val="24"/>
          <w:szCs w:val="24"/>
          <w:lang w:val="en-IE" w:eastAsia="zh-CN"/>
        </w:rPr>
        <w:t>. This is a fitting</w:t>
      </w:r>
      <w:r w:rsidRPr="00BD00A9">
        <w:rPr>
          <w:rFonts w:ascii="Times New Roman" w:eastAsiaTheme="minorEastAsia" w:hAnsi="Times New Roman"/>
          <w:noProof/>
          <w:sz w:val="24"/>
          <w:szCs w:val="24"/>
          <w:lang w:val="en-IE" w:eastAsia="zh-CN"/>
        </w:rPr>
        <w:t xml:space="preserve"> celebration of the</w:t>
      </w:r>
      <w:r w:rsidR="00334C28" w:rsidRPr="00BD00A9">
        <w:rPr>
          <w:rFonts w:ascii="Times New Roman" w:eastAsiaTheme="minorEastAsia" w:hAnsi="Times New Roman"/>
          <w:noProof/>
          <w:sz w:val="24"/>
          <w:szCs w:val="24"/>
          <w:lang w:val="en-IE" w:eastAsia="zh-CN"/>
        </w:rPr>
        <w:t xml:space="preserve"> 30</w:t>
      </w:r>
      <w:r w:rsidR="00334C28" w:rsidRPr="00BD00A9">
        <w:rPr>
          <w:rFonts w:ascii="Times New Roman" w:eastAsiaTheme="minorEastAsia" w:hAnsi="Times New Roman"/>
          <w:noProof/>
          <w:sz w:val="24"/>
          <w:szCs w:val="24"/>
          <w:vertAlign w:val="superscript"/>
          <w:lang w:val="en-IE" w:eastAsia="zh-CN"/>
        </w:rPr>
        <w:t>th</w:t>
      </w:r>
      <w:r w:rsidR="00334C28" w:rsidRPr="00BD00A9">
        <w:rPr>
          <w:rFonts w:ascii="Times New Roman" w:eastAsiaTheme="minorEastAsia" w:hAnsi="Times New Roman"/>
          <w:noProof/>
          <w:sz w:val="24"/>
          <w:szCs w:val="24"/>
          <w:lang w:val="en-IE" w:eastAsia="zh-CN"/>
        </w:rPr>
        <w:t xml:space="preserve"> anniversary of EU citizenship</w:t>
      </w:r>
      <w:r w:rsidR="002E1AD5" w:rsidRPr="00BD00A9">
        <w:rPr>
          <w:rFonts w:ascii="Times New Roman" w:eastAsiaTheme="minorEastAsia" w:hAnsi="Times New Roman"/>
          <w:noProof/>
          <w:sz w:val="24"/>
          <w:szCs w:val="24"/>
          <w:lang w:val="en-IE" w:eastAsia="zh-CN"/>
        </w:rPr>
        <w:t xml:space="preserve"> and will help make </w:t>
      </w:r>
      <w:r w:rsidR="0005536F" w:rsidRPr="00BD00A9">
        <w:rPr>
          <w:rFonts w:ascii="Times New Roman" w:eastAsiaTheme="minorEastAsia" w:hAnsi="Times New Roman"/>
          <w:noProof/>
          <w:sz w:val="24"/>
          <w:szCs w:val="24"/>
          <w:lang w:val="en-IE" w:eastAsia="zh-CN"/>
        </w:rPr>
        <w:t>citizenship</w:t>
      </w:r>
      <w:r w:rsidR="002E1AD5" w:rsidRPr="00BD00A9">
        <w:rPr>
          <w:rFonts w:ascii="Times New Roman" w:eastAsiaTheme="minorEastAsia" w:hAnsi="Times New Roman"/>
          <w:noProof/>
          <w:sz w:val="24"/>
          <w:szCs w:val="24"/>
          <w:lang w:val="en-IE" w:eastAsia="zh-CN"/>
        </w:rPr>
        <w:t xml:space="preserve"> rights more tangible for citizens.</w:t>
      </w:r>
    </w:p>
    <w:p w14:paraId="35FC9B3C" w14:textId="72484AB4" w:rsidR="00182364" w:rsidRPr="00BD00A9" w:rsidRDefault="00334C28" w:rsidP="002F4FFC">
      <w:pPr>
        <w:spacing w:after="240" w:line="276" w:lineRule="auto"/>
        <w:jc w:val="both"/>
        <w:rPr>
          <w:rFonts w:ascii="Times New Roman" w:eastAsiaTheme="minorEastAsia" w:hAnsi="Times New Roman"/>
          <w:noProof/>
          <w:sz w:val="24"/>
          <w:szCs w:val="24"/>
          <w:lang w:val="en-IE" w:eastAsia="zh-CN"/>
        </w:rPr>
      </w:pPr>
      <w:r w:rsidRPr="00BD00A9">
        <w:rPr>
          <w:rFonts w:ascii="Times New Roman" w:eastAsiaTheme="minorEastAsia" w:hAnsi="Times New Roman"/>
          <w:noProof/>
          <w:sz w:val="24"/>
          <w:szCs w:val="24"/>
          <w:lang w:val="en-IE" w:eastAsia="zh-CN"/>
        </w:rPr>
        <w:t xml:space="preserve">The Commission will continue to monitor and assess the situation in the Member States and act in accordance with the EU </w:t>
      </w:r>
      <w:r w:rsidR="0005536F" w:rsidRPr="00BD00A9">
        <w:rPr>
          <w:rFonts w:ascii="Times New Roman" w:eastAsiaTheme="minorEastAsia" w:hAnsi="Times New Roman"/>
          <w:noProof/>
          <w:sz w:val="24"/>
          <w:szCs w:val="24"/>
          <w:lang w:val="en-IE" w:eastAsia="zh-CN"/>
        </w:rPr>
        <w:t>T</w:t>
      </w:r>
      <w:r w:rsidRPr="00BD00A9">
        <w:rPr>
          <w:rFonts w:ascii="Times New Roman" w:eastAsiaTheme="minorEastAsia" w:hAnsi="Times New Roman"/>
          <w:noProof/>
          <w:sz w:val="24"/>
          <w:szCs w:val="24"/>
          <w:lang w:val="en-IE" w:eastAsia="zh-CN"/>
        </w:rPr>
        <w:t xml:space="preserve">reaties and the </w:t>
      </w:r>
      <w:r w:rsidR="00D4044E" w:rsidRPr="00BD00A9">
        <w:rPr>
          <w:rFonts w:ascii="Times New Roman" w:eastAsiaTheme="minorEastAsia" w:hAnsi="Times New Roman"/>
          <w:noProof/>
          <w:sz w:val="24"/>
          <w:szCs w:val="24"/>
          <w:lang w:val="en-IE" w:eastAsia="zh-CN"/>
        </w:rPr>
        <w:t xml:space="preserve">case law </w:t>
      </w:r>
      <w:r w:rsidRPr="00BD00A9">
        <w:rPr>
          <w:rFonts w:ascii="Times New Roman" w:eastAsiaTheme="minorEastAsia" w:hAnsi="Times New Roman"/>
          <w:noProof/>
          <w:sz w:val="24"/>
          <w:szCs w:val="24"/>
          <w:lang w:val="en-IE" w:eastAsia="zh-CN"/>
        </w:rPr>
        <w:t xml:space="preserve">of the Court of Justice. In view of the upcoming </w:t>
      </w:r>
      <w:r w:rsidR="00875012" w:rsidRPr="00BD00A9">
        <w:rPr>
          <w:rFonts w:ascii="Times New Roman" w:eastAsiaTheme="minorEastAsia" w:hAnsi="Times New Roman"/>
          <w:noProof/>
          <w:sz w:val="24"/>
          <w:szCs w:val="24"/>
          <w:lang w:val="en-IE" w:eastAsia="zh-CN"/>
        </w:rPr>
        <w:t xml:space="preserve">elections to the </w:t>
      </w:r>
      <w:r w:rsidRPr="00BD00A9">
        <w:rPr>
          <w:rFonts w:ascii="Times New Roman" w:eastAsiaTheme="minorEastAsia" w:hAnsi="Times New Roman"/>
          <w:noProof/>
          <w:sz w:val="24"/>
          <w:szCs w:val="24"/>
          <w:lang w:val="en-IE" w:eastAsia="zh-CN"/>
        </w:rPr>
        <w:t xml:space="preserve">European </w:t>
      </w:r>
      <w:r w:rsidR="0005536F" w:rsidRPr="00BD00A9">
        <w:rPr>
          <w:rFonts w:ascii="Times New Roman" w:eastAsiaTheme="minorEastAsia" w:hAnsi="Times New Roman"/>
          <w:noProof/>
          <w:sz w:val="24"/>
          <w:szCs w:val="24"/>
          <w:lang w:val="en-IE" w:eastAsia="zh-CN"/>
        </w:rPr>
        <w:t>Parliament</w:t>
      </w:r>
      <w:r w:rsidRPr="00BD00A9">
        <w:rPr>
          <w:rFonts w:ascii="Times New Roman" w:eastAsiaTheme="minorEastAsia" w:hAnsi="Times New Roman"/>
          <w:noProof/>
          <w:sz w:val="24"/>
          <w:szCs w:val="24"/>
          <w:lang w:val="en-IE" w:eastAsia="zh-CN"/>
        </w:rPr>
        <w:t xml:space="preserve">, the Commission will continue to work on </w:t>
      </w:r>
      <w:r w:rsidR="0005536F" w:rsidRPr="00BD00A9">
        <w:rPr>
          <w:rFonts w:ascii="Times New Roman" w:eastAsiaTheme="minorEastAsia" w:hAnsi="Times New Roman"/>
          <w:noProof/>
          <w:sz w:val="24"/>
          <w:szCs w:val="24"/>
          <w:lang w:val="en-IE" w:eastAsia="zh-CN"/>
        </w:rPr>
        <w:t xml:space="preserve">the </w:t>
      </w:r>
      <w:r w:rsidRPr="00BD00A9">
        <w:rPr>
          <w:rFonts w:ascii="Times New Roman" w:eastAsiaTheme="minorEastAsia" w:hAnsi="Times New Roman"/>
          <w:noProof/>
          <w:sz w:val="24"/>
          <w:szCs w:val="24"/>
          <w:lang w:val="en-IE" w:eastAsia="zh-CN"/>
        </w:rPr>
        <w:t>electoral rights of all EU citizens, and their democratic participation. The full enjoyment of all EU citizens’ rights remains a priority for the Commission.</w:t>
      </w:r>
      <w:r w:rsidR="00182364" w:rsidRPr="00BD00A9">
        <w:rPr>
          <w:rFonts w:ascii="Times New Roman" w:eastAsiaTheme="minorEastAsia" w:hAnsi="Times New Roman"/>
          <w:noProof/>
          <w:sz w:val="24"/>
          <w:szCs w:val="24"/>
          <w:lang w:val="en-IE" w:eastAsia="zh-CN"/>
        </w:rPr>
        <w:t xml:space="preserve"> </w:t>
      </w:r>
    </w:p>
    <w:p w14:paraId="3F484DC1" w14:textId="0E644E67" w:rsidR="00182364" w:rsidRPr="008E1A96" w:rsidRDefault="00182364" w:rsidP="002F4FFC">
      <w:pPr>
        <w:spacing w:after="240" w:line="276" w:lineRule="auto"/>
        <w:jc w:val="both"/>
        <w:rPr>
          <w:noProof/>
        </w:rPr>
      </w:pPr>
      <w:r w:rsidRPr="00BD00A9">
        <w:rPr>
          <w:rFonts w:ascii="Times New Roman" w:eastAsiaTheme="minorEastAsia" w:hAnsi="Times New Roman"/>
          <w:noProof/>
          <w:sz w:val="24"/>
          <w:szCs w:val="24"/>
          <w:lang w:val="en-IE" w:eastAsia="zh-CN"/>
        </w:rPr>
        <w:t xml:space="preserve">The Commission will continue to work in partnership with other EU institutions, Member States, local and regional authorities, civil society, and citizens themselves, to lay the groundwork for reflections on further work on EU citizenship </w:t>
      </w:r>
      <w:r w:rsidR="0005536F" w:rsidRPr="00BD00A9">
        <w:rPr>
          <w:rFonts w:ascii="Times New Roman" w:eastAsiaTheme="minorEastAsia" w:hAnsi="Times New Roman"/>
          <w:noProof/>
          <w:sz w:val="24"/>
          <w:szCs w:val="24"/>
          <w:lang w:val="en-IE" w:eastAsia="zh-CN"/>
        </w:rPr>
        <w:t>during</w:t>
      </w:r>
      <w:r w:rsidRPr="00BD00A9">
        <w:rPr>
          <w:rFonts w:ascii="Times New Roman" w:eastAsiaTheme="minorEastAsia" w:hAnsi="Times New Roman"/>
          <w:noProof/>
          <w:sz w:val="24"/>
          <w:szCs w:val="24"/>
          <w:lang w:val="en-IE" w:eastAsia="zh-CN"/>
        </w:rPr>
        <w:t xml:space="preserve"> the next Commission</w:t>
      </w:r>
      <w:r w:rsidR="0005536F" w:rsidRPr="00BD00A9">
        <w:rPr>
          <w:rFonts w:ascii="Times New Roman" w:eastAsiaTheme="minorEastAsia" w:hAnsi="Times New Roman"/>
          <w:noProof/>
          <w:sz w:val="24"/>
          <w:szCs w:val="24"/>
          <w:lang w:val="en-IE" w:eastAsia="zh-CN"/>
        </w:rPr>
        <w:t>’s term of office</w:t>
      </w:r>
      <w:r w:rsidRPr="00BD00A9">
        <w:rPr>
          <w:rFonts w:ascii="Times New Roman" w:eastAsiaTheme="minorEastAsia" w:hAnsi="Times New Roman"/>
          <w:noProof/>
          <w:sz w:val="24"/>
          <w:szCs w:val="24"/>
          <w:lang w:val="en-IE" w:eastAsia="zh-CN"/>
        </w:rPr>
        <w:t xml:space="preserve">. In 2026, </w:t>
      </w:r>
      <w:r w:rsidR="00BA7145" w:rsidRPr="00BD00A9">
        <w:rPr>
          <w:rFonts w:ascii="Times New Roman" w:eastAsiaTheme="minorEastAsia" w:hAnsi="Times New Roman"/>
          <w:noProof/>
          <w:sz w:val="24"/>
          <w:szCs w:val="24"/>
          <w:lang w:val="en-IE" w:eastAsia="zh-CN"/>
        </w:rPr>
        <w:t>the Commission</w:t>
      </w:r>
      <w:r w:rsidRPr="00BD00A9">
        <w:rPr>
          <w:rFonts w:ascii="Times New Roman" w:eastAsiaTheme="minorEastAsia" w:hAnsi="Times New Roman"/>
          <w:noProof/>
          <w:sz w:val="24"/>
          <w:szCs w:val="24"/>
          <w:lang w:val="en-IE" w:eastAsia="zh-CN"/>
        </w:rPr>
        <w:t xml:space="preserve"> will adopt another </w:t>
      </w:r>
      <w:r w:rsidR="0005536F" w:rsidRPr="00BD00A9">
        <w:rPr>
          <w:rFonts w:ascii="Times New Roman" w:eastAsiaTheme="minorEastAsia" w:hAnsi="Times New Roman"/>
          <w:noProof/>
          <w:sz w:val="24"/>
          <w:szCs w:val="24"/>
          <w:lang w:val="en-IE" w:eastAsia="zh-CN"/>
        </w:rPr>
        <w:t xml:space="preserve">progress </w:t>
      </w:r>
      <w:r w:rsidRPr="00BD00A9">
        <w:rPr>
          <w:rFonts w:ascii="Times New Roman" w:eastAsiaTheme="minorEastAsia" w:hAnsi="Times New Roman"/>
          <w:noProof/>
          <w:sz w:val="24"/>
          <w:szCs w:val="24"/>
          <w:lang w:val="en-IE" w:eastAsia="zh-CN"/>
        </w:rPr>
        <w:t xml:space="preserve">report on EU citizenship and the implementation of the </w:t>
      </w:r>
      <w:r w:rsidR="0005536F" w:rsidRPr="00BD00A9">
        <w:rPr>
          <w:rFonts w:ascii="Times New Roman" w:eastAsiaTheme="minorEastAsia" w:hAnsi="Times New Roman"/>
          <w:noProof/>
          <w:sz w:val="24"/>
          <w:szCs w:val="24"/>
          <w:lang w:val="en-IE" w:eastAsia="zh-CN"/>
        </w:rPr>
        <w:t>measures</w:t>
      </w:r>
      <w:r w:rsidRPr="00BD00A9">
        <w:rPr>
          <w:rFonts w:ascii="Times New Roman" w:eastAsiaTheme="minorEastAsia" w:hAnsi="Times New Roman"/>
          <w:noProof/>
          <w:sz w:val="24"/>
          <w:szCs w:val="24"/>
          <w:lang w:val="en-IE" w:eastAsia="zh-CN"/>
        </w:rPr>
        <w:t xml:space="preserve"> set out in this report</w:t>
      </w:r>
      <w:r w:rsidR="00A93417" w:rsidRPr="00BD00A9">
        <w:rPr>
          <w:rFonts w:ascii="Times New Roman" w:eastAsiaTheme="minorEastAsia" w:hAnsi="Times New Roman"/>
          <w:noProof/>
          <w:sz w:val="24"/>
          <w:szCs w:val="24"/>
          <w:lang w:val="en-IE" w:eastAsia="zh-CN"/>
        </w:rPr>
        <w:t>.</w:t>
      </w:r>
    </w:p>
    <w:sectPr w:rsidR="00182364" w:rsidRPr="008E1A96" w:rsidSect="00283190">
      <w:headerReference w:type="even" r:id="rId16"/>
      <w:headerReference w:type="default" r:id="rId17"/>
      <w:footerReference w:type="even" r:id="rId18"/>
      <w:footerReference w:type="default" r:id="rId19"/>
      <w:headerReference w:type="first" r:id="rId20"/>
      <w:footerReference w:type="first" r:id="rId21"/>
      <w:pgSz w:w="11906" w:h="16838" w:code="9"/>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6A65E4" w14:textId="77777777" w:rsidR="002E7ACB" w:rsidRDefault="002E7ACB" w:rsidP="005D54C6">
      <w:pPr>
        <w:spacing w:after="0" w:line="240" w:lineRule="auto"/>
      </w:pPr>
      <w:r>
        <w:separator/>
      </w:r>
    </w:p>
  </w:endnote>
  <w:endnote w:type="continuationSeparator" w:id="0">
    <w:p w14:paraId="5BB91E19" w14:textId="77777777" w:rsidR="002E7ACB" w:rsidRDefault="002E7ACB" w:rsidP="005D54C6">
      <w:pPr>
        <w:spacing w:after="0" w:line="240" w:lineRule="auto"/>
      </w:pPr>
      <w:r>
        <w:continuationSeparator/>
      </w:r>
    </w:p>
  </w:endnote>
  <w:endnote w:type="continuationNotice" w:id="1">
    <w:p w14:paraId="7CE08061" w14:textId="77777777" w:rsidR="002E7ACB" w:rsidRDefault="002E7A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3ADC89" w14:textId="24EF1BB8" w:rsidR="006A4D5B" w:rsidRPr="00E75274" w:rsidRDefault="006A4D5B" w:rsidP="00E752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031CC0" w14:textId="7448F4A5" w:rsidR="006A4D5B" w:rsidRPr="00E75274" w:rsidRDefault="00E75274" w:rsidP="00E75274">
    <w:pPr>
      <w:pStyle w:val="FooterCoverPage"/>
      <w:rPr>
        <w:rFonts w:ascii="Arial" w:hAnsi="Arial" w:cs="Arial"/>
        <w:b/>
        <w:sz w:val="48"/>
      </w:rPr>
    </w:pPr>
    <w:r w:rsidRPr="00E75274">
      <w:rPr>
        <w:rFonts w:ascii="Arial" w:hAnsi="Arial" w:cs="Arial"/>
        <w:b/>
        <w:sz w:val="48"/>
      </w:rPr>
      <w:t>EN</w:t>
    </w:r>
    <w:r w:rsidRPr="00E75274">
      <w:rPr>
        <w:rFonts w:ascii="Arial" w:hAnsi="Arial" w:cs="Arial"/>
        <w:b/>
        <w:sz w:val="48"/>
      </w:rPr>
      <w:tab/>
    </w:r>
    <w:r w:rsidRPr="00E75274">
      <w:rPr>
        <w:rFonts w:ascii="Arial" w:hAnsi="Arial" w:cs="Arial"/>
        <w:b/>
        <w:sz w:val="48"/>
      </w:rPr>
      <w:tab/>
    </w:r>
    <w:r w:rsidRPr="00E75274">
      <w:tab/>
    </w:r>
    <w:r w:rsidRPr="00E75274">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F649B" w14:textId="77777777" w:rsidR="00E75274" w:rsidRPr="00E75274" w:rsidRDefault="00E75274" w:rsidP="00E75274">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E0431D" w14:textId="77777777" w:rsidR="00B0133B" w:rsidRDefault="00B0133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8912303"/>
      <w:docPartObj>
        <w:docPartGallery w:val="Page Numbers (Bottom of Page)"/>
        <w:docPartUnique/>
      </w:docPartObj>
    </w:sdtPr>
    <w:sdtEndPr>
      <w:rPr>
        <w:noProof/>
      </w:rPr>
    </w:sdtEndPr>
    <w:sdtContent>
      <w:p w14:paraId="2D13C8AE" w14:textId="4EE47E34" w:rsidR="00B0133B" w:rsidRDefault="00B0133B">
        <w:pPr>
          <w:pStyle w:val="Footer"/>
          <w:jc w:val="right"/>
        </w:pPr>
        <w:r>
          <w:fldChar w:fldCharType="begin"/>
        </w:r>
        <w:r>
          <w:instrText xml:space="preserve"> PAGE   \* MERGEFORMAT </w:instrText>
        </w:r>
        <w:r>
          <w:fldChar w:fldCharType="separate"/>
        </w:r>
        <w:r w:rsidR="00E75274">
          <w:rPr>
            <w:noProof/>
          </w:rPr>
          <w:t>1</w:t>
        </w:r>
        <w:r>
          <w:rPr>
            <w:noProof/>
          </w:rPr>
          <w:fldChar w:fldCharType="end"/>
        </w:r>
      </w:p>
    </w:sdtContent>
  </w:sdt>
  <w:p w14:paraId="6B0686F7" w14:textId="77777777" w:rsidR="00B0133B" w:rsidRDefault="00B0133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6B0BBF" w14:textId="77777777" w:rsidR="00B0133B" w:rsidRDefault="00B013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3218A9" w14:textId="77777777" w:rsidR="002E7ACB" w:rsidRDefault="002E7ACB" w:rsidP="005D54C6">
      <w:pPr>
        <w:spacing w:after="0" w:line="240" w:lineRule="auto"/>
      </w:pPr>
      <w:r>
        <w:separator/>
      </w:r>
    </w:p>
  </w:footnote>
  <w:footnote w:type="continuationSeparator" w:id="0">
    <w:p w14:paraId="2252AD97" w14:textId="77777777" w:rsidR="002E7ACB" w:rsidRDefault="002E7ACB" w:rsidP="005D54C6">
      <w:pPr>
        <w:spacing w:after="0" w:line="240" w:lineRule="auto"/>
      </w:pPr>
      <w:r>
        <w:continuationSeparator/>
      </w:r>
    </w:p>
  </w:footnote>
  <w:footnote w:type="continuationNotice" w:id="1">
    <w:p w14:paraId="46CA5360" w14:textId="77777777" w:rsidR="002E7ACB" w:rsidRDefault="002E7ACB">
      <w:pPr>
        <w:spacing w:after="0" w:line="240" w:lineRule="auto"/>
      </w:pPr>
    </w:p>
  </w:footnote>
  <w:footnote w:id="2">
    <w:p w14:paraId="3A1BBF4D" w14:textId="4E1DDCF8" w:rsidR="00C01BAD" w:rsidRPr="005A0301" w:rsidRDefault="00C01BAD" w:rsidP="00A71DC0">
      <w:pPr>
        <w:pStyle w:val="FootnoteText"/>
        <w:ind w:left="357" w:hanging="357"/>
        <w:jc w:val="both"/>
      </w:pPr>
      <w:r>
        <w:rPr>
          <w:rStyle w:val="FootnoteReference"/>
        </w:rPr>
        <w:footnoteRef/>
      </w:r>
      <w:r>
        <w:t xml:space="preserve"> </w:t>
      </w:r>
      <w:r>
        <w:tab/>
      </w:r>
      <w:bookmarkStart w:id="5" w:name="_Hlk147307562"/>
      <w:r w:rsidR="007D1D90">
        <w:t xml:space="preserve">Article 25(1) TFEU </w:t>
      </w:r>
      <w:r w:rsidR="00E84D18">
        <w:t>provides</w:t>
      </w:r>
      <w:r w:rsidR="007D1D90">
        <w:t xml:space="preserve"> </w:t>
      </w:r>
      <w:r w:rsidR="0028177C">
        <w:t>that ‘</w:t>
      </w:r>
      <w:r w:rsidRPr="00D44FAA">
        <w:rPr>
          <w:i/>
          <w:iCs/>
        </w:rPr>
        <w:t>The Commission shall report to the European Parliament, to the Council and to the Economic and Social Committee every three years on the application of the provisions of this Part. This report shall take account of the development of the Union</w:t>
      </w:r>
      <w:r w:rsidR="0028177C">
        <w:t>’</w:t>
      </w:r>
      <w:r>
        <w:t>.</w:t>
      </w:r>
    </w:p>
    <w:bookmarkEnd w:id="5"/>
  </w:footnote>
  <w:footnote w:id="3">
    <w:p w14:paraId="6AE07A03" w14:textId="6AB2FED7" w:rsidR="00730647" w:rsidRPr="005A0301" w:rsidRDefault="00730647" w:rsidP="00730647">
      <w:pPr>
        <w:pStyle w:val="FootnoteText"/>
        <w:ind w:left="357" w:hanging="357"/>
      </w:pPr>
      <w:r>
        <w:rPr>
          <w:rStyle w:val="FootnoteReference"/>
        </w:rPr>
        <w:footnoteRef/>
      </w:r>
      <w:r>
        <w:t xml:space="preserve"> </w:t>
      </w:r>
      <w:r>
        <w:tab/>
      </w:r>
      <w:r w:rsidRPr="00EA6766">
        <w:t>F</w:t>
      </w:r>
      <w:r w:rsidR="00D342A4" w:rsidRPr="00EA6766">
        <w:t>lash Eurobarometer 528</w:t>
      </w:r>
      <w:r w:rsidR="00EA6766" w:rsidRPr="00EA6766">
        <w:t xml:space="preserve"> on Citizenship and Democracy</w:t>
      </w:r>
      <w:r w:rsidRPr="00EA6766">
        <w:t>.</w:t>
      </w:r>
    </w:p>
  </w:footnote>
  <w:footnote w:id="4">
    <w:p w14:paraId="4A37CE54" w14:textId="08F9720E" w:rsidR="00730647" w:rsidRPr="00F91F45" w:rsidRDefault="00730647" w:rsidP="00730647">
      <w:pPr>
        <w:pStyle w:val="FootnoteText"/>
        <w:ind w:left="357" w:hanging="357"/>
        <w:jc w:val="both"/>
      </w:pPr>
      <w:r>
        <w:rPr>
          <w:rStyle w:val="FootnoteReference"/>
        </w:rPr>
        <w:footnoteRef/>
      </w:r>
      <w:r>
        <w:t xml:space="preserve"> </w:t>
      </w:r>
      <w:r>
        <w:tab/>
      </w:r>
      <w:r w:rsidR="00432968">
        <w:t xml:space="preserve">In 2020, the Commission adopted two different Reports on EU citizenship: the </w:t>
      </w:r>
      <w:hyperlink r:id="rId1" w:history="1">
        <w:r w:rsidR="00432968">
          <w:rPr>
            <w:rStyle w:val="Hyperlink"/>
          </w:rPr>
          <w:t>‘</w:t>
        </w:r>
        <w:r w:rsidR="00432968" w:rsidRPr="00FB64D2">
          <w:rPr>
            <w:rStyle w:val="Hyperlink"/>
          </w:rPr>
          <w:t>EU Citizenship Report 2020</w:t>
        </w:r>
        <w:r w:rsidR="00432968">
          <w:rPr>
            <w:rStyle w:val="Hyperlink"/>
          </w:rPr>
          <w:t>’</w:t>
        </w:r>
        <w:r w:rsidR="00432968" w:rsidRPr="00FB64D2">
          <w:rPr>
            <w:rStyle w:val="Hyperlink"/>
          </w:rPr>
          <w:t xml:space="preserve"> Communication</w:t>
        </w:r>
      </w:hyperlink>
      <w:r w:rsidR="00432968">
        <w:t xml:space="preserve"> (Report from the Commission to the European Parliament, the Council, the European Economic and Social Committee and the Committee of the Regions: EU Citizenship Report 2020 - Empowering citizens and protecting their rights, COM(2020)730 final), and a </w:t>
      </w:r>
      <w:hyperlink r:id="rId2" w:history="1">
        <w:r w:rsidR="00432968" w:rsidRPr="00FB64D2">
          <w:rPr>
            <w:rStyle w:val="Hyperlink"/>
          </w:rPr>
          <w:t>progress report under Article 25</w:t>
        </w:r>
      </w:hyperlink>
      <w:r w:rsidR="00432968">
        <w:t xml:space="preserve"> (Report from the Commission to the European Parliament, the Council, the European Economic and Social Committee and the Committee of the Regions: Under Article 25 TFEU – on Progress towards effective EU Citizenship 2016-2020, COM(2020)731 final). </w:t>
      </w:r>
      <w:r w:rsidR="00150DA1">
        <w:t>Th</w:t>
      </w:r>
      <w:r w:rsidR="00432968">
        <w:t>is current</w:t>
      </w:r>
      <w:r w:rsidR="00150DA1">
        <w:t xml:space="preserve"> report covers in particular the period from 1 July 2020 to 30 August 2023. </w:t>
      </w:r>
      <w:r>
        <w:t xml:space="preserve">To the extent possible, </w:t>
      </w:r>
      <w:r w:rsidR="00150DA1">
        <w:t>it</w:t>
      </w:r>
      <w:r>
        <w:t xml:space="preserve"> also contains information on policy and/or case law developments after this date.</w:t>
      </w:r>
    </w:p>
  </w:footnote>
  <w:footnote w:id="5">
    <w:p w14:paraId="59F351E4" w14:textId="3F5AC440" w:rsidR="00730647" w:rsidRPr="001826C3" w:rsidRDefault="00730647" w:rsidP="00A71DC0">
      <w:pPr>
        <w:pStyle w:val="FootnoteText"/>
        <w:ind w:left="357" w:hanging="357"/>
        <w:jc w:val="both"/>
      </w:pPr>
      <w:r>
        <w:rPr>
          <w:rStyle w:val="FootnoteReference"/>
        </w:rPr>
        <w:footnoteRef/>
      </w:r>
      <w:r>
        <w:t xml:space="preserve"> </w:t>
      </w:r>
      <w:r>
        <w:tab/>
        <w:t xml:space="preserve">A call for evidence </w:t>
      </w:r>
      <w:r w:rsidRPr="00DC70E1">
        <w:t>was online between 14 June and 12 July 2023</w:t>
      </w:r>
      <w:r>
        <w:t xml:space="preserve"> (</w:t>
      </w:r>
      <w:hyperlink r:id="rId3" w:history="1">
        <w:r w:rsidRPr="00DC70E1">
          <w:rPr>
            <w:rStyle w:val="Hyperlink"/>
          </w:rPr>
          <w:t>https://ec.europa.eu/info/law/better-regulation/have-your-say/initiatives/13699-EU-Citizenship-Report-2023_en</w:t>
        </w:r>
      </w:hyperlink>
      <w:r>
        <w:t xml:space="preserve">). It received 104 replies, of which 88.46% </w:t>
      </w:r>
      <w:r w:rsidR="0028177C">
        <w:t>were from</w:t>
      </w:r>
      <w:r>
        <w:t xml:space="preserve"> EU citizens and 5.77%</w:t>
      </w:r>
      <w:r w:rsidR="0028177C">
        <w:t xml:space="preserve"> from</w:t>
      </w:r>
      <w:r>
        <w:t xml:space="preserve"> NGOs.</w:t>
      </w:r>
    </w:p>
  </w:footnote>
  <w:footnote w:id="6">
    <w:p w14:paraId="66998ED0" w14:textId="6569C8E8" w:rsidR="00730647" w:rsidRPr="00531288" w:rsidRDefault="00730647" w:rsidP="00730647">
      <w:pPr>
        <w:pStyle w:val="FootnoteText"/>
        <w:ind w:left="357" w:hanging="357"/>
        <w:jc w:val="both"/>
      </w:pPr>
      <w:r>
        <w:rPr>
          <w:rStyle w:val="FootnoteReference"/>
        </w:rPr>
        <w:footnoteRef/>
      </w:r>
      <w:r>
        <w:t xml:space="preserve"> </w:t>
      </w:r>
      <w:r>
        <w:tab/>
      </w:r>
      <w:r w:rsidR="00432968">
        <w:t xml:space="preserve">See also footnote 3: </w:t>
      </w:r>
      <w:r>
        <w:t xml:space="preserve">the </w:t>
      </w:r>
      <w:hyperlink r:id="rId4" w:history="1">
        <w:r w:rsidR="0028177C">
          <w:rPr>
            <w:rStyle w:val="Hyperlink"/>
          </w:rPr>
          <w:t>‘</w:t>
        </w:r>
        <w:r w:rsidRPr="00FB64D2">
          <w:rPr>
            <w:rStyle w:val="Hyperlink"/>
          </w:rPr>
          <w:t>EU Citizenship Report 2020</w:t>
        </w:r>
        <w:r w:rsidR="0028177C">
          <w:rPr>
            <w:rStyle w:val="Hyperlink"/>
          </w:rPr>
          <w:t>’</w:t>
        </w:r>
        <w:r w:rsidRPr="00FB64D2">
          <w:rPr>
            <w:rStyle w:val="Hyperlink"/>
          </w:rPr>
          <w:t xml:space="preserve"> Communication</w:t>
        </w:r>
      </w:hyperlink>
      <w:r>
        <w:t xml:space="preserve"> (Report from the Commission to the European Parliament, the Council, the European Economic and Social Committee and the Committee of the Regions: EU Citizenship Report 2020 - Empowering citizens and protecting their rights, COM(2020)730 final)</w:t>
      </w:r>
      <w:r w:rsidR="00432968">
        <w:t>.</w:t>
      </w:r>
    </w:p>
  </w:footnote>
  <w:footnote w:id="7">
    <w:p w14:paraId="1D1C0CE9" w14:textId="0B5F1454" w:rsidR="00434E6D" w:rsidRPr="00434E6D" w:rsidRDefault="00434E6D" w:rsidP="00434E6D">
      <w:pPr>
        <w:pStyle w:val="FootnoteText"/>
        <w:ind w:left="357" w:hanging="357"/>
      </w:pPr>
      <w:r>
        <w:rPr>
          <w:rStyle w:val="FootnoteReference"/>
        </w:rPr>
        <w:footnoteRef/>
      </w:r>
      <w:r>
        <w:t xml:space="preserve"> </w:t>
      </w:r>
      <w:r>
        <w:tab/>
      </w:r>
      <w:hyperlink r:id="rId5" w:history="1">
        <w:r>
          <w:rPr>
            <w:rStyle w:val="Hyperlink"/>
          </w:rPr>
          <w:t>political-guidelines-next-commission_en_0.pdf (europa.eu)</w:t>
        </w:r>
      </w:hyperlink>
    </w:p>
  </w:footnote>
  <w:footnote w:id="8">
    <w:p w14:paraId="7C96FF8A" w14:textId="5F5456FB" w:rsidR="00C77D50" w:rsidRPr="00E72DEC" w:rsidRDefault="00C77D50" w:rsidP="00C77D50">
      <w:pPr>
        <w:pStyle w:val="FootnoteText"/>
        <w:ind w:left="357" w:hanging="357"/>
        <w:jc w:val="both"/>
      </w:pPr>
      <w:r>
        <w:rPr>
          <w:rStyle w:val="FootnoteReference"/>
        </w:rPr>
        <w:footnoteRef/>
      </w:r>
      <w:r>
        <w:t xml:space="preserve"> </w:t>
      </w:r>
      <w:r>
        <w:tab/>
        <w:t xml:space="preserve">Council Directive </w:t>
      </w:r>
      <w:r w:rsidRPr="00E72DEC">
        <w:rPr>
          <w:lang w:val="en-US"/>
        </w:rPr>
        <w:t xml:space="preserve">(EU) 2015/637 of 20 April 2015 on the coordination and cooperation measures to facilitate consular </w:t>
      </w:r>
      <w:r w:rsidRPr="00882B54">
        <w:rPr>
          <w:lang w:val="en-US"/>
        </w:rPr>
        <w:t>protection for unrepresented citizens of the Union in third countries and repealing Decision 95/553/EC</w:t>
      </w:r>
      <w:r w:rsidR="00882B54">
        <w:rPr>
          <w:lang w:val="en-US"/>
        </w:rPr>
        <w:t xml:space="preserve"> (</w:t>
      </w:r>
      <w:r w:rsidRPr="00C1070E">
        <w:rPr>
          <w:i/>
          <w:iCs/>
          <w:lang w:val="en-US"/>
        </w:rPr>
        <w:t>OJ L 106, 24.4.2015, p. 1</w:t>
      </w:r>
      <w:r w:rsidR="00177294">
        <w:rPr>
          <w:lang w:val="en-US"/>
        </w:rPr>
        <w:t xml:space="preserve">, </w:t>
      </w:r>
      <w:r w:rsidR="00177294">
        <w:t xml:space="preserve">ELI: </w:t>
      </w:r>
      <w:hyperlink r:id="rId6" w:tooltip="Gives access to this document through its ELI URI." w:history="1">
        <w:r w:rsidR="00177294">
          <w:rPr>
            <w:rStyle w:val="Hyperlink"/>
          </w:rPr>
          <w:t>http://data.europa.eu/eli/dir/2015/637/oj</w:t>
        </w:r>
      </w:hyperlink>
      <w:r w:rsidR="00177294">
        <w:t>)</w:t>
      </w:r>
      <w:r w:rsidRPr="00882B54">
        <w:rPr>
          <w:lang w:val="en-US"/>
        </w:rPr>
        <w:t>.</w:t>
      </w:r>
    </w:p>
  </w:footnote>
  <w:footnote w:id="9">
    <w:p w14:paraId="47D649D8" w14:textId="4B0A9B1C" w:rsidR="00C77D50" w:rsidRPr="00D22A0B" w:rsidRDefault="00C77D50" w:rsidP="00C77D50">
      <w:pPr>
        <w:pStyle w:val="FootnoteText"/>
        <w:ind w:left="357" w:hanging="357"/>
        <w:jc w:val="both"/>
        <w:rPr>
          <w:lang w:val="en-IE"/>
        </w:rPr>
      </w:pPr>
      <w:r>
        <w:rPr>
          <w:rStyle w:val="FootnoteReference"/>
        </w:rPr>
        <w:footnoteRef/>
      </w:r>
      <w:r>
        <w:t xml:space="preserve"> </w:t>
      </w:r>
      <w:r>
        <w:tab/>
      </w:r>
      <w:r w:rsidR="00CC5FC1" w:rsidRPr="004B2E91">
        <w:t xml:space="preserve">COM(2023)930. </w:t>
      </w:r>
      <w:r w:rsidRPr="00C04514">
        <w:rPr>
          <w:lang w:val="en-IE"/>
        </w:rPr>
        <w:t xml:space="preserve">This proposal also builds on the findings of the </w:t>
      </w:r>
      <w:r w:rsidR="004D0C0F">
        <w:t>Report from the Commission to the European Parliament and the Council on the implementation and application of Council Directive (EU) 2015/637 of 20 April 2015 on the coordination and cooperation measures to facilitate consular protection for unrepresented citizens of the Union in third countries and repealing Decision 95/553/EC (</w:t>
      </w:r>
      <w:hyperlink r:id="rId7" w:history="1">
        <w:r w:rsidR="004D0C0F" w:rsidRPr="00342C6C">
          <w:rPr>
            <w:rStyle w:val="Hyperlink"/>
          </w:rPr>
          <w:t>COM(2022) 437 final</w:t>
        </w:r>
      </w:hyperlink>
      <w:r w:rsidR="004D0C0F">
        <w:t>)</w:t>
      </w:r>
      <w:r w:rsidRPr="00C04514">
        <w:rPr>
          <w:lang w:val="en-IE"/>
        </w:rPr>
        <w:t>.</w:t>
      </w:r>
    </w:p>
  </w:footnote>
  <w:footnote w:id="10">
    <w:p w14:paraId="16FF8E4E" w14:textId="3C3813CF" w:rsidR="00CC5FC1" w:rsidRPr="00CC5FC1" w:rsidRDefault="00CC5FC1" w:rsidP="004B2E91">
      <w:pPr>
        <w:pStyle w:val="FootnoteText"/>
        <w:ind w:left="357" w:hanging="357"/>
      </w:pPr>
      <w:r>
        <w:rPr>
          <w:rStyle w:val="FootnoteReference"/>
        </w:rPr>
        <w:footnoteRef/>
      </w:r>
      <w:r>
        <w:t xml:space="preserve"> </w:t>
      </w:r>
      <w:r>
        <w:tab/>
        <w:t>C 2023 931.</w:t>
      </w:r>
    </w:p>
  </w:footnote>
  <w:footnote w:id="11">
    <w:p w14:paraId="5F2D68CE" w14:textId="092D51B3" w:rsidR="00205493" w:rsidRPr="00205493" w:rsidRDefault="00205493" w:rsidP="00A71DC0">
      <w:pPr>
        <w:pStyle w:val="FootnoteText"/>
        <w:ind w:left="357" w:hanging="357"/>
        <w:jc w:val="both"/>
      </w:pPr>
      <w:r>
        <w:rPr>
          <w:rStyle w:val="FootnoteReference"/>
        </w:rPr>
        <w:footnoteRef/>
      </w:r>
      <w:r>
        <w:t xml:space="preserve"> </w:t>
      </w:r>
      <w:r>
        <w:tab/>
      </w:r>
      <w:bookmarkStart w:id="9" w:name="_Hlk152262237"/>
      <w:r w:rsidR="003833F9">
        <w:t xml:space="preserve">See for example </w:t>
      </w:r>
      <w:r w:rsidR="008F40E7">
        <w:t>C</w:t>
      </w:r>
      <w:r w:rsidR="008F40E7" w:rsidRPr="007E0490">
        <w:t xml:space="preserve">ommunication from the </w:t>
      </w:r>
      <w:r w:rsidR="008F40E7">
        <w:t>C</w:t>
      </w:r>
      <w:r w:rsidR="008F40E7" w:rsidRPr="007E0490">
        <w:t>ommission to the</w:t>
      </w:r>
      <w:r w:rsidR="008F40E7">
        <w:t xml:space="preserve"> E</w:t>
      </w:r>
      <w:r w:rsidR="008F40E7" w:rsidRPr="007E0490">
        <w:t xml:space="preserve">uropean </w:t>
      </w:r>
      <w:r w:rsidR="008F40E7">
        <w:t>P</w:t>
      </w:r>
      <w:r w:rsidR="008F40E7" w:rsidRPr="007E0490">
        <w:t xml:space="preserve">arliament, the </w:t>
      </w:r>
      <w:r w:rsidR="008F40E7">
        <w:t>C</w:t>
      </w:r>
      <w:r w:rsidR="008F40E7" w:rsidRPr="007E0490">
        <w:t xml:space="preserve">ouncil, the </w:t>
      </w:r>
      <w:r w:rsidR="008F40E7">
        <w:t>E</w:t>
      </w:r>
      <w:r w:rsidR="008F40E7" w:rsidRPr="007E0490">
        <w:t xml:space="preserve">uropean </w:t>
      </w:r>
      <w:r w:rsidR="008F40E7">
        <w:t>E</w:t>
      </w:r>
      <w:r w:rsidR="008F40E7" w:rsidRPr="007E0490">
        <w:t xml:space="preserve">conomic and </w:t>
      </w:r>
      <w:r w:rsidR="008F40E7">
        <w:t>S</w:t>
      </w:r>
      <w:r w:rsidR="008F40E7" w:rsidRPr="007E0490">
        <w:t xml:space="preserve">ocial </w:t>
      </w:r>
      <w:r w:rsidR="008F40E7">
        <w:t>C</w:t>
      </w:r>
      <w:r w:rsidR="008F40E7" w:rsidRPr="007E0490">
        <w:t xml:space="preserve">ommittee and the </w:t>
      </w:r>
      <w:r w:rsidR="008F40E7">
        <w:t>C</w:t>
      </w:r>
      <w:r w:rsidR="008F40E7" w:rsidRPr="007E0490">
        <w:t xml:space="preserve">ommittee of the </w:t>
      </w:r>
      <w:r w:rsidR="008F40E7">
        <w:t>R</w:t>
      </w:r>
      <w:r w:rsidR="008F40E7" w:rsidRPr="007E0490">
        <w:t>egions</w:t>
      </w:r>
      <w:r w:rsidR="008F40E7">
        <w:t xml:space="preserve">: </w:t>
      </w:r>
      <w:r w:rsidR="008F40E7" w:rsidRPr="007E0490">
        <w:t>Union of Equality: LGBTIQ Equality Strategy 2020-2025</w:t>
      </w:r>
      <w:r w:rsidR="008F40E7">
        <w:t>, COM(2020)698 final.</w:t>
      </w:r>
      <w:bookmarkEnd w:id="9"/>
    </w:p>
  </w:footnote>
  <w:footnote w:id="12">
    <w:p w14:paraId="255DD730" w14:textId="77777777" w:rsidR="003531E6" w:rsidRPr="001B132C" w:rsidRDefault="003531E6" w:rsidP="003531E6">
      <w:pPr>
        <w:pStyle w:val="FootnoteText"/>
        <w:ind w:left="357" w:hanging="357"/>
        <w:jc w:val="both"/>
        <w:rPr>
          <w:szCs w:val="18"/>
          <w:lang w:val="en-IE"/>
        </w:rPr>
      </w:pPr>
      <w:r>
        <w:rPr>
          <w:rStyle w:val="FootnoteReference"/>
          <w:rFonts w:cs="Times New Roman"/>
          <w:szCs w:val="18"/>
        </w:rPr>
        <w:footnoteRef/>
      </w:r>
      <w:r w:rsidRPr="001B132C">
        <w:rPr>
          <w:szCs w:val="18"/>
          <w:lang w:val="en-IE"/>
        </w:rPr>
        <w:t xml:space="preserve"> </w:t>
      </w:r>
      <w:r>
        <w:rPr>
          <w:szCs w:val="18"/>
          <w:lang w:val="en-IE"/>
        </w:rPr>
        <w:tab/>
        <w:t>Communication from the Commission to the European Parliament, the European Council, the Council, the European Economic and Social Committee and the Committee of the Regions – Conference on the Future of Europe: Putting Vision into Concrete Action, COM(2022)404 final.</w:t>
      </w:r>
    </w:p>
  </w:footnote>
  <w:footnote w:id="13">
    <w:p w14:paraId="29C3752C" w14:textId="428AE55D" w:rsidR="00DC7B07" w:rsidRPr="00DC7B07" w:rsidRDefault="00DC7B07" w:rsidP="00DC7B07">
      <w:pPr>
        <w:pStyle w:val="FootnoteText"/>
        <w:ind w:left="357" w:hanging="357"/>
        <w:jc w:val="both"/>
      </w:pPr>
      <w:r>
        <w:rPr>
          <w:rStyle w:val="FootnoteReference"/>
        </w:rPr>
        <w:footnoteRef/>
      </w:r>
      <w:r>
        <w:t xml:space="preserve"> </w:t>
      </w:r>
      <w:r>
        <w:tab/>
      </w:r>
      <w:r w:rsidRPr="00DC7B07">
        <w:t>In addition, in its Title V, the EU Charter of Fundamental Rights sets out a series of fundamental rights that apply to EU citizens, such as the right to vote and to stand as a candidate at elections to the European Parliament and in municipal elections, and the right to good administration</w:t>
      </w:r>
      <w:r>
        <w:t xml:space="preserve"> (Article 39, 40 and 41 of the Charter)</w:t>
      </w:r>
      <w:r w:rsidRPr="00DC7B07">
        <w:t>. These always apply to the EU institutions, bodies, offices and agencies of the Union and to the Member States when they are applying EU law</w:t>
      </w:r>
      <w:r>
        <w:t xml:space="preserve"> (Article 51 of the Charter)</w:t>
      </w:r>
      <w:r w:rsidRPr="00DC7B07">
        <w:t>.</w:t>
      </w:r>
    </w:p>
  </w:footnote>
  <w:footnote w:id="14">
    <w:p w14:paraId="057F1570" w14:textId="77777777" w:rsidR="00F168BA" w:rsidRPr="00BF091A" w:rsidRDefault="00F168BA" w:rsidP="00BA40FE">
      <w:pPr>
        <w:pStyle w:val="FootnoteText"/>
        <w:ind w:left="357" w:hanging="357"/>
        <w:jc w:val="both"/>
      </w:pPr>
      <w:r>
        <w:rPr>
          <w:rStyle w:val="FootnoteReference"/>
        </w:rPr>
        <w:footnoteRef/>
      </w:r>
      <w:r w:rsidRPr="00BF091A">
        <w:t xml:space="preserve"> </w:t>
      </w:r>
      <w:r>
        <w:tab/>
      </w:r>
      <w:hyperlink r:id="rId8" w:history="1">
        <w:r w:rsidRPr="00C05595">
          <w:rPr>
            <w:rStyle w:val="Hyperlink"/>
          </w:rPr>
          <w:t>https://www.europarl.europa.eu/at-your-service/files/be-heard/eurobarometer/2023/eu-citizens-in-uk-2023-report-en.pdf</w:t>
        </w:r>
      </w:hyperlink>
      <w:r w:rsidRPr="00BF091A">
        <w:t xml:space="preserve"> </w:t>
      </w:r>
    </w:p>
  </w:footnote>
  <w:footnote w:id="15">
    <w:p w14:paraId="317F90ED" w14:textId="77777777" w:rsidR="002768C5" w:rsidRPr="003C7020" w:rsidRDefault="002768C5" w:rsidP="00BA40FE">
      <w:pPr>
        <w:pStyle w:val="FootnoteText"/>
        <w:ind w:left="357" w:hanging="357"/>
        <w:jc w:val="both"/>
        <w:rPr>
          <w:lang w:val="en-IE"/>
        </w:rPr>
      </w:pPr>
      <w:r>
        <w:rPr>
          <w:rStyle w:val="FootnoteReference"/>
        </w:rPr>
        <w:footnoteRef/>
      </w:r>
      <w:r>
        <w:t xml:space="preserve"> </w:t>
      </w:r>
      <w:r>
        <w:tab/>
      </w:r>
      <w:hyperlink r:id="rId9" w:history="1">
        <w:r w:rsidRPr="00707D27">
          <w:rPr>
            <w:rStyle w:val="Hyperlink"/>
          </w:rPr>
          <w:t>https://europa.eu/european-union/contact_en</w:t>
        </w:r>
      </w:hyperlink>
      <w:r>
        <w:t xml:space="preserve"> </w:t>
      </w:r>
    </w:p>
  </w:footnote>
  <w:footnote w:id="16">
    <w:p w14:paraId="05E794D7" w14:textId="658DF501" w:rsidR="002768C5" w:rsidRPr="00F05F68" w:rsidRDefault="002768C5" w:rsidP="00BA40FE">
      <w:pPr>
        <w:pStyle w:val="FootnoteText"/>
        <w:ind w:left="357" w:hanging="357"/>
        <w:jc w:val="both"/>
        <w:rPr>
          <w:lang w:val="en-IE"/>
        </w:rPr>
      </w:pPr>
      <w:r>
        <w:rPr>
          <w:rStyle w:val="FootnoteReference"/>
        </w:rPr>
        <w:footnoteRef/>
      </w:r>
      <w:r>
        <w:t xml:space="preserve"> </w:t>
      </w:r>
      <w:r>
        <w:tab/>
      </w:r>
      <w:r w:rsidRPr="00F05F68">
        <w:rPr>
          <w:lang w:val="en-IE"/>
        </w:rPr>
        <w:t>U</w:t>
      </w:r>
      <w:r w:rsidR="00B325E8">
        <w:rPr>
          <w:lang w:val="en-IE"/>
        </w:rPr>
        <w:t>p to</w:t>
      </w:r>
      <w:r w:rsidRPr="00F05F68">
        <w:rPr>
          <w:lang w:val="en-IE"/>
        </w:rPr>
        <w:t xml:space="preserve"> 1 J</w:t>
      </w:r>
      <w:r>
        <w:rPr>
          <w:lang w:val="en-IE"/>
        </w:rPr>
        <w:t xml:space="preserve">uly 2023. </w:t>
      </w:r>
    </w:p>
  </w:footnote>
  <w:footnote w:id="17">
    <w:p w14:paraId="151F24F3" w14:textId="33156EB3" w:rsidR="00430B83" w:rsidRPr="00430B83" w:rsidRDefault="00430B83" w:rsidP="00BA40FE">
      <w:pPr>
        <w:pStyle w:val="FootnoteText"/>
        <w:ind w:left="357" w:hanging="357"/>
        <w:jc w:val="both"/>
      </w:pPr>
      <w:r>
        <w:rPr>
          <w:rStyle w:val="FootnoteReference"/>
        </w:rPr>
        <w:footnoteRef/>
      </w:r>
      <w:r>
        <w:t xml:space="preserve"> </w:t>
      </w:r>
      <w:r>
        <w:tab/>
      </w:r>
      <w:hyperlink r:id="rId10" w:history="1">
        <w:r w:rsidR="009C23A9" w:rsidRPr="00146D43">
          <w:rPr>
            <w:rStyle w:val="Hyperlink"/>
          </w:rPr>
          <w:t>https://www.europarl.europa.eu/resources/library/media/20220509RES29121/20220509RES29121.pdf</w:t>
        </w:r>
      </w:hyperlink>
      <w:r w:rsidR="0094095B">
        <w:t>.</w:t>
      </w:r>
      <w:r w:rsidR="004D16FB">
        <w:t xml:space="preserve"> </w:t>
      </w:r>
      <w:r w:rsidR="0094095B">
        <w:t xml:space="preserve">The request for a </w:t>
      </w:r>
      <w:r w:rsidR="00EA6766">
        <w:t>‘</w:t>
      </w:r>
      <w:r w:rsidR="0094095B">
        <w:t>European citizenship Statute</w:t>
      </w:r>
      <w:r w:rsidR="00EA6766">
        <w:t>’</w:t>
      </w:r>
      <w:r w:rsidR="0094095B">
        <w:t xml:space="preserve"> has also been reiterated more recently, for example in the AFCO Report on Parliamentarism, European Citizenship and Democracy (2023/2017(INI)).</w:t>
      </w:r>
    </w:p>
  </w:footnote>
  <w:footnote w:id="18">
    <w:p w14:paraId="1099F2EA" w14:textId="03C52B91" w:rsidR="002F6F38" w:rsidRPr="002F6F38" w:rsidRDefault="002F6F38" w:rsidP="00685414">
      <w:pPr>
        <w:pStyle w:val="FootnoteText"/>
        <w:ind w:left="357" w:hanging="357"/>
        <w:jc w:val="both"/>
      </w:pPr>
      <w:r>
        <w:rPr>
          <w:rStyle w:val="FootnoteReference"/>
        </w:rPr>
        <w:footnoteRef/>
      </w:r>
      <w:r>
        <w:t xml:space="preserve"> </w:t>
      </w:r>
      <w:r>
        <w:tab/>
      </w:r>
      <w:r>
        <w:rPr>
          <w:color w:val="1E1E1F"/>
        </w:rPr>
        <w:t>In its Communication on the follow-up to the Conference on the Future of Europe, the Commission committed to deliver</w:t>
      </w:r>
      <w:r w:rsidR="00171282">
        <w:rPr>
          <w:color w:val="1E1E1F"/>
        </w:rPr>
        <w:t>ing</w:t>
      </w:r>
      <w:r>
        <w:rPr>
          <w:color w:val="1E1E1F"/>
        </w:rPr>
        <w:t xml:space="preserve"> on the Conference proposals within the framework of its competences and in accordance with the Treaties. </w:t>
      </w:r>
      <w:r w:rsidR="00171282">
        <w:rPr>
          <w:color w:val="1E1E1F"/>
        </w:rPr>
        <w:t xml:space="preserve">See </w:t>
      </w:r>
      <w:r>
        <w:rPr>
          <w:szCs w:val="18"/>
          <w:lang w:val="en-IE"/>
        </w:rPr>
        <w:t>Communication from the Commission to the European Parliament, the European Council, the Council, the European Economic and Social Committee and the Committee of the Regions – Conference on the Future of Europe: Putting Vision into Concrete Action, COM(2022)404 final.</w:t>
      </w:r>
    </w:p>
  </w:footnote>
  <w:footnote w:id="19">
    <w:p w14:paraId="661E3D65" w14:textId="581E32F7" w:rsidR="00870429" w:rsidRPr="00A247C2" w:rsidRDefault="00870429" w:rsidP="00A247C2">
      <w:pPr>
        <w:pStyle w:val="FootnoteText"/>
        <w:ind w:left="357" w:hanging="357"/>
        <w:rPr>
          <w:lang w:val="en-IE"/>
        </w:rPr>
      </w:pPr>
      <w:r>
        <w:rPr>
          <w:rStyle w:val="FootnoteReference"/>
        </w:rPr>
        <w:footnoteRef/>
      </w:r>
      <w:r>
        <w:t xml:space="preserve"> </w:t>
      </w:r>
      <w:r>
        <w:tab/>
      </w:r>
      <w:hyperlink r:id="rId11" w:history="1">
        <w:r w:rsidRPr="00870429">
          <w:rPr>
            <w:rStyle w:val="Hyperlink"/>
            <w:lang w:val="en-US"/>
          </w:rPr>
          <w:t>ECI educational toolkit (europa.eu)</w:t>
        </w:r>
      </w:hyperlink>
    </w:p>
  </w:footnote>
  <w:footnote w:id="20">
    <w:p w14:paraId="62FDE346" w14:textId="5BF532A6" w:rsidR="00226A4A" w:rsidRPr="00226A4A" w:rsidRDefault="00226A4A" w:rsidP="00BA40FE">
      <w:pPr>
        <w:pStyle w:val="FootnoteText"/>
        <w:ind w:left="357" w:hanging="357"/>
        <w:jc w:val="both"/>
        <w:rPr>
          <w:lang w:val="en-IE"/>
        </w:rPr>
      </w:pPr>
      <w:r>
        <w:rPr>
          <w:rStyle w:val="FootnoteReference"/>
        </w:rPr>
        <w:footnoteRef/>
      </w:r>
      <w:r>
        <w:t xml:space="preserve"> </w:t>
      </w:r>
      <w:r>
        <w:tab/>
      </w:r>
      <w:r w:rsidRPr="00A247C2">
        <w:rPr>
          <w:lang w:val="en-IE"/>
        </w:rPr>
        <w:t>T</w:t>
      </w:r>
      <w:r w:rsidR="00A247C2" w:rsidRPr="00A247C2">
        <w:rPr>
          <w:lang w:val="en-IE"/>
        </w:rPr>
        <w:t>he event ’30 years of EU citizenship rights’ took place online on 28 November.</w:t>
      </w:r>
    </w:p>
  </w:footnote>
  <w:footnote w:id="21">
    <w:p w14:paraId="45EA6617" w14:textId="04E1F642" w:rsidR="00226A4A" w:rsidRPr="00226A4A" w:rsidRDefault="00226A4A" w:rsidP="00BA40FE">
      <w:pPr>
        <w:pStyle w:val="FootnoteText"/>
        <w:ind w:left="357" w:hanging="357"/>
        <w:jc w:val="both"/>
        <w:rPr>
          <w:lang w:val="en-IE"/>
        </w:rPr>
      </w:pPr>
      <w:r>
        <w:rPr>
          <w:rStyle w:val="FootnoteReference"/>
        </w:rPr>
        <w:footnoteRef/>
      </w:r>
      <w:r>
        <w:t xml:space="preserve"> </w:t>
      </w:r>
      <w:r w:rsidR="001B132C">
        <w:tab/>
      </w:r>
      <w:r w:rsidRPr="00226A4A">
        <w:rPr>
          <w:lang w:val="en-IE"/>
        </w:rPr>
        <w:t>The focu</w:t>
      </w:r>
      <w:r>
        <w:rPr>
          <w:lang w:val="en-IE"/>
        </w:rPr>
        <w:t xml:space="preserve">s countries </w:t>
      </w:r>
      <w:r w:rsidR="00A71DC0">
        <w:rPr>
          <w:lang w:val="en-IE"/>
        </w:rPr>
        <w:t>are</w:t>
      </w:r>
      <w:r>
        <w:rPr>
          <w:lang w:val="en-IE"/>
        </w:rPr>
        <w:t xml:space="preserve"> Belgium, Cyprus, Denmark, Greece, Spain, France, Croatia and Latvia. </w:t>
      </w:r>
    </w:p>
  </w:footnote>
  <w:footnote w:id="22">
    <w:p w14:paraId="4049B855" w14:textId="185E364A" w:rsidR="00F90CF6" w:rsidRPr="00F90CF6" w:rsidRDefault="00F90CF6" w:rsidP="00BA40FE">
      <w:pPr>
        <w:pStyle w:val="FootnoteText"/>
        <w:ind w:left="357" w:hanging="357"/>
        <w:jc w:val="both"/>
      </w:pPr>
      <w:r>
        <w:rPr>
          <w:rStyle w:val="FootnoteReference"/>
        </w:rPr>
        <w:footnoteRef/>
      </w:r>
      <w:r>
        <w:t xml:space="preserve"> </w:t>
      </w:r>
      <w:r>
        <w:tab/>
        <w:t xml:space="preserve">Communication from the Commission to the European Parliament, the Council, the European Economic and Social Committee and the Committee of the Regions </w:t>
      </w:r>
      <w:r w:rsidR="00EA6766">
        <w:t>‘</w:t>
      </w:r>
      <w:r>
        <w:t>2030 Digital Compass: the European way for the Digital Decade</w:t>
      </w:r>
      <w:r w:rsidR="00EA6766">
        <w:t>’</w:t>
      </w:r>
      <w:r>
        <w:t xml:space="preserve">, COM/2021/118 final. </w:t>
      </w:r>
    </w:p>
  </w:footnote>
  <w:footnote w:id="23">
    <w:p w14:paraId="51FC22E4" w14:textId="77777777" w:rsidR="00DB0862" w:rsidRDefault="00DB0862" w:rsidP="00DB0862">
      <w:pPr>
        <w:pStyle w:val="FootnoteText"/>
      </w:pPr>
      <w:r w:rsidRPr="00D31758">
        <w:rPr>
          <w:rStyle w:val="FootnoteReference"/>
        </w:rPr>
        <w:footnoteRef/>
      </w:r>
      <w:r w:rsidRPr="00D31758">
        <w:t xml:space="preserve">    Decision (EU) 2022/2481 establishing the Digital Decade Policy Programme 2030</w:t>
      </w:r>
      <w:r>
        <w:t>.</w:t>
      </w:r>
    </w:p>
  </w:footnote>
  <w:footnote w:id="24">
    <w:p w14:paraId="3618D96B" w14:textId="655CE095" w:rsidR="00F90CF6" w:rsidRPr="00F90CF6" w:rsidRDefault="00F90CF6" w:rsidP="00BA40FE">
      <w:pPr>
        <w:pStyle w:val="FootnoteText"/>
        <w:ind w:left="357" w:hanging="357"/>
        <w:jc w:val="both"/>
      </w:pPr>
      <w:r>
        <w:rPr>
          <w:rStyle w:val="FootnoteReference"/>
        </w:rPr>
        <w:footnoteRef/>
      </w:r>
      <w:r>
        <w:t xml:space="preserve"> </w:t>
      </w:r>
      <w:r>
        <w:tab/>
      </w:r>
      <w:hyperlink r:id="rId12" w:history="1">
        <w:r w:rsidR="000F1408" w:rsidRPr="00CF6271">
          <w:rPr>
            <w:rStyle w:val="Hyperlink"/>
          </w:rPr>
          <w:t>https://ec.europa.eu/commission/presscorner/detail/en/IP_22_452</w:t>
        </w:r>
      </w:hyperlink>
      <w:r w:rsidR="000F1408">
        <w:t xml:space="preserve"> </w:t>
      </w:r>
    </w:p>
  </w:footnote>
  <w:footnote w:id="25">
    <w:p w14:paraId="7B329DB0" w14:textId="3B895B50" w:rsidR="00F90CF6" w:rsidRPr="00F90CF6" w:rsidRDefault="00F90CF6" w:rsidP="00BA40FE">
      <w:pPr>
        <w:pStyle w:val="FootnoteText"/>
        <w:ind w:left="357" w:hanging="357"/>
        <w:jc w:val="both"/>
      </w:pPr>
      <w:r>
        <w:rPr>
          <w:rStyle w:val="FootnoteReference"/>
        </w:rPr>
        <w:footnoteRef/>
      </w:r>
      <w:r>
        <w:t xml:space="preserve"> </w:t>
      </w:r>
      <w:r>
        <w:tab/>
      </w:r>
      <w:hyperlink r:id="rId13" w:history="1">
        <w:r w:rsidR="000F1408" w:rsidRPr="00CF6271">
          <w:rPr>
            <w:rStyle w:val="Hyperlink"/>
          </w:rPr>
          <w:t>https://digital-strategy.ec.europa.eu/en/library/european-declaration-digital-rights-and-principles</w:t>
        </w:r>
      </w:hyperlink>
      <w:r w:rsidR="000F1408">
        <w:t xml:space="preserve"> </w:t>
      </w:r>
    </w:p>
  </w:footnote>
  <w:footnote w:id="26">
    <w:p w14:paraId="2881BC30" w14:textId="77777777" w:rsidR="00870429" w:rsidRPr="00DA40CD" w:rsidRDefault="00870429" w:rsidP="00A247C2">
      <w:pPr>
        <w:pStyle w:val="FootnoteText"/>
        <w:ind w:left="357" w:hanging="357"/>
        <w:rPr>
          <w:lang w:val="en-IE"/>
        </w:rPr>
      </w:pPr>
      <w:r>
        <w:rPr>
          <w:rStyle w:val="FootnoteReference"/>
        </w:rPr>
        <w:footnoteRef/>
      </w:r>
      <w:r>
        <w:t xml:space="preserve"> </w:t>
      </w:r>
      <w:r>
        <w:rPr>
          <w:lang w:val="en-IE"/>
        </w:rPr>
        <w:tab/>
      </w:r>
      <w:hyperlink r:id="rId14" w:history="1">
        <w:r>
          <w:rPr>
            <w:rStyle w:val="Hyperlink"/>
          </w:rPr>
          <w:t>2023 Report on the state of the Digital Decade | Shaping Europe’s digital future (europa.eu)</w:t>
        </w:r>
      </w:hyperlink>
    </w:p>
  </w:footnote>
  <w:footnote w:id="27">
    <w:p w14:paraId="21EB5BA6" w14:textId="7D0083E1" w:rsidR="009245CD" w:rsidRPr="009245CD" w:rsidRDefault="009245CD" w:rsidP="00BA40FE">
      <w:pPr>
        <w:pStyle w:val="FootnoteText"/>
        <w:ind w:left="357" w:hanging="357"/>
        <w:jc w:val="both"/>
      </w:pPr>
      <w:r>
        <w:rPr>
          <w:rStyle w:val="FootnoteReference"/>
        </w:rPr>
        <w:footnoteRef/>
      </w:r>
      <w:r>
        <w:t xml:space="preserve"> </w:t>
      </w:r>
      <w:r>
        <w:tab/>
      </w:r>
      <w:r w:rsidRPr="001C01F2">
        <w:t xml:space="preserve">Judgment of 18 January 2022, </w:t>
      </w:r>
      <w:r w:rsidRPr="00D44FAA">
        <w:rPr>
          <w:rStyle w:val="affairetitle"/>
          <w:i/>
        </w:rPr>
        <w:t>Wiener Landesregierung (Révocation d'une assurance de naturalisation)</w:t>
      </w:r>
      <w:r w:rsidRPr="001C01F2">
        <w:rPr>
          <w:rStyle w:val="affairetitle"/>
        </w:rPr>
        <w:t>,</w:t>
      </w:r>
      <w:r w:rsidRPr="00D44FAA">
        <w:rPr>
          <w:rStyle w:val="affairetitle"/>
        </w:rPr>
        <w:t xml:space="preserve"> </w:t>
      </w:r>
      <w:r w:rsidRPr="001C01F2">
        <w:rPr>
          <w:rStyle w:val="affairetitle"/>
        </w:rPr>
        <w:t xml:space="preserve">C-118/20, </w:t>
      </w:r>
      <w:r w:rsidRPr="001C01F2">
        <w:rPr>
          <w:rStyle w:val="outputecliaff"/>
        </w:rPr>
        <w:t xml:space="preserve">EU:C:2022:34, paragraph </w:t>
      </w:r>
      <w:r w:rsidRPr="00D44FAA">
        <w:rPr>
          <w:rStyle w:val="outputecliaff"/>
        </w:rPr>
        <w:t>37 and the case-law cited)</w:t>
      </w:r>
      <w:r w:rsidRPr="001C01F2">
        <w:t xml:space="preserve">.  </w:t>
      </w:r>
    </w:p>
  </w:footnote>
  <w:footnote w:id="28">
    <w:p w14:paraId="310C3117" w14:textId="601DFAA0" w:rsidR="007E226B" w:rsidRPr="007E226B" w:rsidRDefault="007E226B" w:rsidP="00BA40FE">
      <w:pPr>
        <w:pStyle w:val="FootnoteText"/>
        <w:ind w:left="357" w:hanging="357"/>
        <w:jc w:val="both"/>
      </w:pPr>
      <w:r>
        <w:rPr>
          <w:rStyle w:val="FootnoteReference"/>
        </w:rPr>
        <w:footnoteRef/>
      </w:r>
      <w:r>
        <w:t xml:space="preserve"> </w:t>
      </w:r>
      <w:r>
        <w:tab/>
      </w:r>
      <w:hyperlink r:id="rId15" w:history="1">
        <w:r w:rsidRPr="00C05595">
          <w:rPr>
            <w:rStyle w:val="Hyperlink"/>
          </w:rPr>
          <w:t>https://ec.europa.eu/commission/presscorner/detail/en/ip_20_1925</w:t>
        </w:r>
      </w:hyperlink>
      <w:r w:rsidR="001364DC">
        <w:t xml:space="preserve">. </w:t>
      </w:r>
      <w:r w:rsidR="001364DC" w:rsidRPr="001364DC">
        <w:t xml:space="preserve">The Commission considered that by establishing and operating investor citizenship schemes that offer citizenship in exchange for pre-determined payments and investments, these two Member States failed to fulfil their obligations under Article 4(3) TEU and Article 20 TFEU. </w:t>
      </w:r>
    </w:p>
  </w:footnote>
  <w:footnote w:id="29">
    <w:p w14:paraId="6004C60D" w14:textId="7155734C" w:rsidR="003844A7" w:rsidRPr="003844A7" w:rsidRDefault="003844A7" w:rsidP="00BA40FE">
      <w:pPr>
        <w:pStyle w:val="FootnoteText"/>
        <w:jc w:val="both"/>
      </w:pPr>
      <w:r>
        <w:rPr>
          <w:rStyle w:val="FootnoteReference"/>
        </w:rPr>
        <w:footnoteRef/>
      </w:r>
      <w:r>
        <w:t xml:space="preserve">    </w:t>
      </w:r>
      <w:r w:rsidRPr="003844A7">
        <w:t xml:space="preserve">The infringement procedure is currently at the stage of reasoned opinion.  </w:t>
      </w:r>
    </w:p>
  </w:footnote>
  <w:footnote w:id="30">
    <w:p w14:paraId="08674DF1" w14:textId="7924C6B4" w:rsidR="007E226B" w:rsidRPr="007E226B" w:rsidRDefault="007E226B" w:rsidP="00BA40FE">
      <w:pPr>
        <w:pStyle w:val="FootnoteText"/>
        <w:ind w:left="357" w:hanging="357"/>
        <w:jc w:val="both"/>
      </w:pPr>
      <w:r>
        <w:rPr>
          <w:rStyle w:val="FootnoteReference"/>
        </w:rPr>
        <w:footnoteRef/>
      </w:r>
      <w:r>
        <w:t xml:space="preserve"> </w:t>
      </w:r>
      <w:r>
        <w:tab/>
      </w:r>
      <w:hyperlink r:id="rId16" w:history="1">
        <w:r w:rsidRPr="00C05595">
          <w:rPr>
            <w:rStyle w:val="Hyperlink"/>
          </w:rPr>
          <w:t>https://ec.europa.eu/commission/presscorner/detail/EN/IP_22_5422</w:t>
        </w:r>
      </w:hyperlink>
      <w:r w:rsidR="009245CD">
        <w:t xml:space="preserve">. </w:t>
      </w:r>
      <w:r w:rsidR="009245CD" w:rsidRPr="00D44FAA">
        <w:rPr>
          <w:lang w:val="en-IE"/>
        </w:rPr>
        <w:t>The Court referral took place on 21 March 2023 (Case C-181/23)</w:t>
      </w:r>
      <w:r w:rsidR="009245CD">
        <w:t>.</w:t>
      </w:r>
    </w:p>
  </w:footnote>
  <w:footnote w:id="31">
    <w:p w14:paraId="4A0199C7" w14:textId="77777777" w:rsidR="007E226B" w:rsidRPr="00824FD2" w:rsidRDefault="007E226B" w:rsidP="00BA40FE">
      <w:pPr>
        <w:pStyle w:val="FootnoteText"/>
        <w:ind w:left="357" w:hanging="357"/>
        <w:jc w:val="both"/>
      </w:pPr>
      <w:r>
        <w:rPr>
          <w:rStyle w:val="FootnoteReference"/>
        </w:rPr>
        <w:footnoteRef/>
      </w:r>
      <w:r>
        <w:t xml:space="preserve"> </w:t>
      </w:r>
      <w:r>
        <w:tab/>
        <w:t>Commission Recommendation of 28.3.2022 on immediate steps in the context of the Russian invasion of Ukraine in relation to investor citizenship schemes and investor residence schemes, C(2022)2028 final.</w:t>
      </w:r>
    </w:p>
  </w:footnote>
  <w:footnote w:id="32">
    <w:p w14:paraId="4E733D7B" w14:textId="43B1F81A" w:rsidR="00984A0D" w:rsidRPr="00BB624A" w:rsidRDefault="00984A0D" w:rsidP="004D16FB">
      <w:pPr>
        <w:pStyle w:val="FootnoteText"/>
        <w:ind w:left="357" w:hanging="357"/>
        <w:jc w:val="both"/>
      </w:pPr>
      <w:r w:rsidRPr="00BB624A">
        <w:rPr>
          <w:rStyle w:val="FootnoteReference"/>
        </w:rPr>
        <w:footnoteRef/>
      </w:r>
      <w:r w:rsidRPr="00BB624A">
        <w:t xml:space="preserve"> </w:t>
      </w:r>
      <w:r>
        <w:tab/>
      </w:r>
      <w:r w:rsidRPr="00BB624A">
        <w:t xml:space="preserve">Judgment of the Court (Eighth Chamber) of 15 June 2023, Silver and Others v Council, </w:t>
      </w:r>
      <w:hyperlink r:id="rId17" w:history="1">
        <w:r w:rsidRPr="00BB624A">
          <w:rPr>
            <w:rStyle w:val="Hyperlink"/>
          </w:rPr>
          <w:t>C</w:t>
        </w:r>
        <w:r w:rsidRPr="00BB624A">
          <w:rPr>
            <w:rStyle w:val="Hyperlink"/>
            <w:rFonts w:ascii="Cambria Math" w:hAnsi="Cambria Math" w:cs="Cambria Math"/>
          </w:rPr>
          <w:t>‑</w:t>
        </w:r>
        <w:r w:rsidRPr="00BB624A">
          <w:rPr>
            <w:rStyle w:val="Hyperlink"/>
          </w:rPr>
          <w:t>499/21 P</w:t>
        </w:r>
      </w:hyperlink>
      <w:r w:rsidRPr="00BB624A">
        <w:t>, EU:C:2023:479</w:t>
      </w:r>
      <w:r>
        <w:t>.</w:t>
      </w:r>
    </w:p>
  </w:footnote>
  <w:footnote w:id="33">
    <w:p w14:paraId="360A7FD6" w14:textId="1D87DFC1" w:rsidR="00984A0D" w:rsidRPr="00BB624A" w:rsidRDefault="00984A0D" w:rsidP="004D16FB">
      <w:pPr>
        <w:pStyle w:val="FootnoteText"/>
        <w:ind w:left="357" w:hanging="357"/>
        <w:jc w:val="both"/>
      </w:pPr>
      <w:r w:rsidRPr="00BB624A">
        <w:rPr>
          <w:rStyle w:val="FootnoteReference"/>
        </w:rPr>
        <w:footnoteRef/>
      </w:r>
      <w:r w:rsidRPr="00BB624A">
        <w:t xml:space="preserve"> </w:t>
      </w:r>
      <w:r>
        <w:tab/>
      </w:r>
      <w:r w:rsidRPr="00BB624A">
        <w:t xml:space="preserve">Judgment of the Court (Eighth Chamber) of 15 June 2023, Shindler and Others v Council, </w:t>
      </w:r>
      <w:hyperlink r:id="rId18" w:history="1">
        <w:r w:rsidRPr="00BB624A">
          <w:rPr>
            <w:rStyle w:val="Hyperlink"/>
          </w:rPr>
          <w:t>C-501/21 P</w:t>
        </w:r>
      </w:hyperlink>
      <w:r w:rsidRPr="00BB624A">
        <w:t>, EU:C:2023:480</w:t>
      </w:r>
      <w:r>
        <w:t>.</w:t>
      </w:r>
    </w:p>
  </w:footnote>
  <w:footnote w:id="34">
    <w:p w14:paraId="4BD6FAA6" w14:textId="009FAE95" w:rsidR="00984A0D" w:rsidRPr="00BB624A" w:rsidRDefault="00984A0D" w:rsidP="004D16FB">
      <w:pPr>
        <w:pStyle w:val="FootnoteText"/>
        <w:ind w:left="357" w:hanging="357"/>
        <w:jc w:val="both"/>
      </w:pPr>
      <w:r w:rsidRPr="00BB624A">
        <w:rPr>
          <w:rStyle w:val="FootnoteReference"/>
        </w:rPr>
        <w:footnoteRef/>
      </w:r>
      <w:r w:rsidRPr="00BB624A">
        <w:t xml:space="preserve"> </w:t>
      </w:r>
      <w:r>
        <w:tab/>
      </w:r>
      <w:r w:rsidRPr="00BB624A">
        <w:t xml:space="preserve">Judgment of the Court (Eighth Chamber) of 15 June 2023, </w:t>
      </w:r>
      <w:r w:rsidRPr="00053CB2">
        <w:t>David Price v Council</w:t>
      </w:r>
      <w:r w:rsidRPr="00BB624A">
        <w:rPr>
          <w:i/>
          <w:iCs/>
        </w:rPr>
        <w:t xml:space="preserve">, </w:t>
      </w:r>
      <w:hyperlink r:id="rId19" w:history="1">
        <w:r w:rsidRPr="00BB624A">
          <w:rPr>
            <w:rStyle w:val="Hyperlink"/>
          </w:rPr>
          <w:t>C-502/21 P</w:t>
        </w:r>
      </w:hyperlink>
      <w:r w:rsidRPr="00BB624A">
        <w:t>, EU:C:2023:482</w:t>
      </w:r>
      <w:r>
        <w:t>.</w:t>
      </w:r>
    </w:p>
  </w:footnote>
  <w:footnote w:id="35">
    <w:p w14:paraId="7A2F076D" w14:textId="1A30A1AF" w:rsidR="00776777" w:rsidRPr="0020370B" w:rsidRDefault="00776777" w:rsidP="00BA40FE">
      <w:pPr>
        <w:pStyle w:val="FootnoteText"/>
        <w:ind w:left="357" w:hanging="357"/>
        <w:jc w:val="both"/>
      </w:pPr>
      <w:r>
        <w:rPr>
          <w:rStyle w:val="FootnoteReference"/>
        </w:rPr>
        <w:footnoteRef/>
      </w:r>
      <w:r>
        <w:t xml:space="preserve"> </w:t>
      </w:r>
      <w:r>
        <w:tab/>
      </w:r>
      <w:r w:rsidRPr="0020370B">
        <w:t>Judgment of the Court (Grand Chamber) of 18 January 2022, JY v Wiener Landesregierung, C</w:t>
      </w:r>
      <w:r w:rsidRPr="0020370B">
        <w:rPr>
          <w:rFonts w:ascii="Cambria Math" w:hAnsi="Cambria Math" w:cs="Cambria Math"/>
        </w:rPr>
        <w:t>‑</w:t>
      </w:r>
      <w:r w:rsidRPr="0020370B">
        <w:t>118/20, EU:C:2022:34.</w:t>
      </w:r>
    </w:p>
  </w:footnote>
  <w:footnote w:id="36">
    <w:p w14:paraId="2BCECC17" w14:textId="48CB21D3" w:rsidR="004C374D" w:rsidRPr="0063414C" w:rsidRDefault="004C374D" w:rsidP="0063414C">
      <w:pPr>
        <w:pStyle w:val="FootnoteText"/>
        <w:ind w:left="357" w:hanging="357"/>
        <w:jc w:val="both"/>
        <w:rPr>
          <w:lang w:val="en-IE"/>
        </w:rPr>
      </w:pPr>
      <w:r>
        <w:rPr>
          <w:rStyle w:val="FootnoteReference"/>
        </w:rPr>
        <w:footnoteRef/>
      </w:r>
      <w:r>
        <w:t xml:space="preserve"> </w:t>
      </w:r>
      <w:r w:rsidRPr="0063414C">
        <w:rPr>
          <w:lang w:val="en-IE"/>
        </w:rPr>
        <w:tab/>
      </w:r>
      <w:r w:rsidR="0063414C">
        <w:rPr>
          <w:lang w:val="en-IE"/>
        </w:rPr>
        <w:t>Judgment of the Court (Grand Chamber) of 2 March 2010, Janko Rottmann v Freistaat Bayern, C-135/08, EU:C:2010:104.</w:t>
      </w:r>
    </w:p>
  </w:footnote>
  <w:footnote w:id="37">
    <w:p w14:paraId="0FB61F32" w14:textId="257D5EF4" w:rsidR="004C374D" w:rsidRPr="0063414C" w:rsidRDefault="004C374D" w:rsidP="0063414C">
      <w:pPr>
        <w:pStyle w:val="FootnoteText"/>
        <w:ind w:left="357" w:hanging="357"/>
        <w:jc w:val="both"/>
        <w:rPr>
          <w:lang w:val="en-IE"/>
        </w:rPr>
      </w:pPr>
      <w:r>
        <w:rPr>
          <w:rStyle w:val="FootnoteReference"/>
        </w:rPr>
        <w:footnoteRef/>
      </w:r>
      <w:r>
        <w:t xml:space="preserve"> </w:t>
      </w:r>
      <w:r w:rsidRPr="0063414C">
        <w:rPr>
          <w:lang w:val="en-IE"/>
        </w:rPr>
        <w:tab/>
      </w:r>
      <w:r w:rsidR="0063414C">
        <w:rPr>
          <w:lang w:val="en-IE"/>
        </w:rPr>
        <w:t>Judgment of the Court (Grand Chamber) of 12 March 2019, M.G. Tjebbes and Others v Minister van Buitenlandse Zaken, C-221/17, EU:C:2019:189.</w:t>
      </w:r>
    </w:p>
  </w:footnote>
  <w:footnote w:id="38">
    <w:p w14:paraId="46F8B10D" w14:textId="6CBBCD25" w:rsidR="004A2BD5" w:rsidRPr="004A2BD5" w:rsidRDefault="004A2BD5" w:rsidP="004D16FB">
      <w:pPr>
        <w:pStyle w:val="FootnoteText"/>
        <w:ind w:left="357" w:hanging="357"/>
        <w:jc w:val="both"/>
        <w:rPr>
          <w:lang w:val="en-IE"/>
        </w:rPr>
      </w:pPr>
      <w:r>
        <w:rPr>
          <w:rStyle w:val="FootnoteReference"/>
        </w:rPr>
        <w:footnoteRef/>
      </w:r>
      <w:r>
        <w:t xml:space="preserve"> </w:t>
      </w:r>
      <w:r>
        <w:tab/>
      </w:r>
      <w:r w:rsidRPr="004A2BD5">
        <w:rPr>
          <w:lang w:val="en-IE"/>
        </w:rPr>
        <w:t>See a</w:t>
      </w:r>
      <w:r>
        <w:rPr>
          <w:lang w:val="en-IE"/>
        </w:rPr>
        <w:t>lso Article 21(2) of the Charter of Fundamental Rights</w:t>
      </w:r>
      <w:r w:rsidR="00A7510E">
        <w:rPr>
          <w:lang w:val="en-IE"/>
        </w:rPr>
        <w:t xml:space="preserve">, which states that </w:t>
      </w:r>
      <w:r w:rsidR="009F09BB">
        <w:rPr>
          <w:lang w:val="en-IE"/>
        </w:rPr>
        <w:t>‘</w:t>
      </w:r>
      <w:r w:rsidR="00A7510E" w:rsidRPr="00A7510E">
        <w:rPr>
          <w:lang w:val="en-IE"/>
        </w:rPr>
        <w:t>Within the scope of application of the Treaties and without prejudice to any of their specific provisions, any discrimination on grounds of nationality shall be prohibited</w:t>
      </w:r>
      <w:r w:rsidR="009F09BB">
        <w:rPr>
          <w:lang w:val="en-IE"/>
        </w:rPr>
        <w:t>’</w:t>
      </w:r>
      <w:r w:rsidR="00A7510E" w:rsidRPr="00A7510E">
        <w:rPr>
          <w:lang w:val="en-IE"/>
        </w:rPr>
        <w:t>.</w:t>
      </w:r>
    </w:p>
  </w:footnote>
  <w:footnote w:id="39">
    <w:p w14:paraId="53D0A642" w14:textId="7BB9E313" w:rsidR="00776777" w:rsidRPr="00BB624A" w:rsidRDefault="00776777" w:rsidP="004D16FB">
      <w:pPr>
        <w:pStyle w:val="FootnoteText"/>
        <w:ind w:left="357" w:hanging="357"/>
        <w:jc w:val="both"/>
      </w:pPr>
      <w:r w:rsidRPr="00BB624A">
        <w:rPr>
          <w:rStyle w:val="FootnoteReference"/>
        </w:rPr>
        <w:footnoteRef/>
      </w:r>
      <w:r w:rsidRPr="00BB624A">
        <w:t xml:space="preserve"> </w:t>
      </w:r>
      <w:r>
        <w:tab/>
      </w:r>
      <w:r w:rsidRPr="00BB624A">
        <w:t>Judgment of the Court (Grand Chamber) of 22 December 2022, Generalstaatsanwaltschaft München v S.M.,</w:t>
      </w:r>
      <w:hyperlink r:id="rId20" w:history="1">
        <w:r w:rsidRPr="00BB624A">
          <w:rPr>
            <w:rStyle w:val="Hyperlink"/>
          </w:rPr>
          <w:t>C-237/21</w:t>
        </w:r>
      </w:hyperlink>
      <w:r w:rsidRPr="00BB624A">
        <w:t>, EU:C:2022:1017.</w:t>
      </w:r>
    </w:p>
  </w:footnote>
  <w:footnote w:id="40">
    <w:p w14:paraId="06870321" w14:textId="77777777" w:rsidR="00776777" w:rsidRPr="00BB624A" w:rsidRDefault="00776777" w:rsidP="004D16FB">
      <w:pPr>
        <w:pStyle w:val="FootnoteText"/>
        <w:ind w:left="357" w:hanging="357"/>
        <w:jc w:val="both"/>
      </w:pPr>
      <w:r w:rsidRPr="00BB624A">
        <w:rPr>
          <w:rStyle w:val="FootnoteReference"/>
        </w:rPr>
        <w:footnoteRef/>
      </w:r>
      <w:r w:rsidRPr="00BB624A">
        <w:t xml:space="preserve"> </w:t>
      </w:r>
      <w:r>
        <w:tab/>
      </w:r>
      <w:r w:rsidRPr="00BB624A">
        <w:t xml:space="preserve">Judgement of the Court (Grand Chamber) of 17 December 2020, BY, </w:t>
      </w:r>
      <w:hyperlink r:id="rId21" w:history="1">
        <w:r w:rsidRPr="00BB624A">
          <w:rPr>
            <w:rStyle w:val="Hyperlink"/>
          </w:rPr>
          <w:t>C-398/19</w:t>
        </w:r>
      </w:hyperlink>
      <w:r w:rsidRPr="00BB624A">
        <w:t>, EU:C:2020:1032.</w:t>
      </w:r>
    </w:p>
  </w:footnote>
  <w:footnote w:id="41">
    <w:p w14:paraId="5DE44D20" w14:textId="77777777" w:rsidR="00776777" w:rsidRPr="00BB624A" w:rsidRDefault="00776777" w:rsidP="00776777">
      <w:pPr>
        <w:pStyle w:val="FootnoteText"/>
        <w:ind w:left="357" w:hanging="357"/>
        <w:jc w:val="both"/>
      </w:pPr>
      <w:r w:rsidRPr="00BB624A">
        <w:rPr>
          <w:rStyle w:val="FootnoteReference"/>
        </w:rPr>
        <w:footnoteRef/>
      </w:r>
      <w:r w:rsidRPr="00BB624A">
        <w:t xml:space="preserve"> </w:t>
      </w:r>
      <w:r>
        <w:tab/>
      </w:r>
      <w:r w:rsidRPr="00BB624A">
        <w:t xml:space="preserve">Judgment of the Court (Third Chamber) of 10 February 2022, OE v VY, </w:t>
      </w:r>
      <w:hyperlink r:id="rId22" w:anchor="ctx1" w:history="1">
        <w:r w:rsidRPr="00BB624A">
          <w:rPr>
            <w:rStyle w:val="Hyperlink"/>
          </w:rPr>
          <w:t>C-522/20</w:t>
        </w:r>
      </w:hyperlink>
      <w:r w:rsidRPr="00BB624A">
        <w:t>, EU:C:2022:87.</w:t>
      </w:r>
    </w:p>
  </w:footnote>
  <w:footnote w:id="42">
    <w:p w14:paraId="6B19DAC6" w14:textId="0534945B" w:rsidR="00BF5EA2" w:rsidRPr="00BF5EA2" w:rsidRDefault="00BF5EA2" w:rsidP="0063479F">
      <w:pPr>
        <w:pStyle w:val="FootnoteText"/>
        <w:ind w:left="357" w:hanging="357"/>
        <w:jc w:val="both"/>
        <w:rPr>
          <w:lang w:val="en-IE"/>
        </w:rPr>
      </w:pPr>
      <w:r>
        <w:rPr>
          <w:rStyle w:val="FootnoteReference"/>
        </w:rPr>
        <w:footnoteRef/>
      </w:r>
      <w:r>
        <w:t xml:space="preserve"> </w:t>
      </w:r>
      <w:r>
        <w:tab/>
      </w:r>
      <w:r w:rsidRPr="00BF5EA2">
        <w:rPr>
          <w:lang w:val="en-IE"/>
        </w:rPr>
        <w:t>See a</w:t>
      </w:r>
      <w:r>
        <w:rPr>
          <w:lang w:val="en-IE"/>
        </w:rPr>
        <w:t>lso Article 21(</w:t>
      </w:r>
      <w:r w:rsidR="00A7510E">
        <w:rPr>
          <w:lang w:val="en-IE"/>
        </w:rPr>
        <w:t>1</w:t>
      </w:r>
      <w:r>
        <w:rPr>
          <w:lang w:val="en-IE"/>
        </w:rPr>
        <w:t>) of the Charter of Fundamental Rights</w:t>
      </w:r>
      <w:r w:rsidR="00A7510E">
        <w:rPr>
          <w:lang w:val="en-IE"/>
        </w:rPr>
        <w:t xml:space="preserve">, which states that </w:t>
      </w:r>
      <w:r w:rsidR="009F09BB">
        <w:rPr>
          <w:lang w:val="en-IE"/>
        </w:rPr>
        <w:t>‘</w:t>
      </w:r>
      <w:r w:rsidR="00A7510E" w:rsidRPr="00A7510E">
        <w:rPr>
          <w:lang w:val="en-IE"/>
        </w:rPr>
        <w:t>Any discrimination based on any ground such as sex, race, colour, ethnic or social origin, genetic features, language, religion or belief, political or any other opinion, membership of a national minority, property, birth, disability, age or sexual orientation shall be prohibited</w:t>
      </w:r>
      <w:r w:rsidR="009F09BB">
        <w:rPr>
          <w:lang w:val="en-IE"/>
        </w:rPr>
        <w:t>’</w:t>
      </w:r>
      <w:r w:rsidR="00A7510E" w:rsidRPr="00A7510E">
        <w:rPr>
          <w:lang w:val="en-IE"/>
        </w:rPr>
        <w:t>.</w:t>
      </w:r>
    </w:p>
  </w:footnote>
  <w:footnote w:id="43">
    <w:p w14:paraId="55AE4732" w14:textId="39D787A1" w:rsidR="009857EB" w:rsidRPr="009857EB" w:rsidRDefault="009857EB" w:rsidP="009857EB">
      <w:pPr>
        <w:pStyle w:val="FootnoteText"/>
        <w:ind w:left="357" w:hanging="357"/>
        <w:rPr>
          <w:lang w:val="en-IE"/>
        </w:rPr>
      </w:pPr>
      <w:r>
        <w:rPr>
          <w:rStyle w:val="FootnoteReference"/>
        </w:rPr>
        <w:footnoteRef/>
      </w:r>
      <w:r>
        <w:t xml:space="preserve"> </w:t>
      </w:r>
      <w:r>
        <w:tab/>
      </w:r>
      <w:r w:rsidRPr="007C217D">
        <w:t>Communication from the Commission to the European Parliament, the Council, the European Economic and Social Committee and the Committee of the Regions: Union of Equality: Gender Equality Strategy 2020-2025, COM(2020)152 final.</w:t>
      </w:r>
    </w:p>
  </w:footnote>
  <w:footnote w:id="44">
    <w:p w14:paraId="79E80B29" w14:textId="12C59252" w:rsidR="009857EB" w:rsidRPr="009857EB" w:rsidRDefault="009857EB" w:rsidP="009857EB">
      <w:pPr>
        <w:pStyle w:val="FootnoteText"/>
        <w:ind w:left="357" w:hanging="357"/>
        <w:rPr>
          <w:lang w:val="en-IE"/>
        </w:rPr>
      </w:pPr>
      <w:r>
        <w:rPr>
          <w:rStyle w:val="FootnoteReference"/>
        </w:rPr>
        <w:footnoteRef/>
      </w:r>
      <w:r>
        <w:t xml:space="preserve"> </w:t>
      </w:r>
      <w:r>
        <w:tab/>
      </w:r>
      <w:hyperlink r:id="rId23" w:history="1">
        <w:r w:rsidRPr="009857EB">
          <w:rPr>
            <w:rStyle w:val="Hyperlink"/>
            <w:lang w:val="en-US"/>
          </w:rPr>
          <w:t>2023 report on gender equality in the EU (europa.eu)</w:t>
        </w:r>
      </w:hyperlink>
    </w:p>
  </w:footnote>
  <w:footnote w:id="45">
    <w:p w14:paraId="12DFD8DB" w14:textId="6DD962AC" w:rsidR="00D9602E" w:rsidRPr="00D9602E" w:rsidRDefault="00D9602E" w:rsidP="007E0490">
      <w:pPr>
        <w:pStyle w:val="FootnoteText"/>
        <w:widowControl w:val="0"/>
        <w:ind w:left="357" w:hanging="357"/>
        <w:jc w:val="both"/>
      </w:pPr>
      <w:r>
        <w:rPr>
          <w:rStyle w:val="FootnoteReference"/>
        </w:rPr>
        <w:footnoteRef/>
      </w:r>
      <w:r>
        <w:t xml:space="preserve"> </w:t>
      </w:r>
      <w:r>
        <w:tab/>
        <w:t>Proposal for a Directive of the European Parliament and of the Council on combating violence against women and domestic violence, COM(2022)105 final.</w:t>
      </w:r>
    </w:p>
  </w:footnote>
  <w:footnote w:id="46">
    <w:p w14:paraId="67994147" w14:textId="7CCAF2FC" w:rsidR="003C1BAC" w:rsidRDefault="003C1BAC" w:rsidP="007E0490">
      <w:pPr>
        <w:pStyle w:val="FootnoteText"/>
        <w:ind w:left="357" w:hanging="357"/>
        <w:jc w:val="both"/>
        <w:rPr>
          <w:rFonts w:asciiTheme="minorHAnsi" w:hAnsiTheme="minorHAnsi"/>
        </w:rPr>
      </w:pPr>
      <w:r>
        <w:rPr>
          <w:rStyle w:val="FootnoteReference"/>
        </w:rPr>
        <w:footnoteRef/>
      </w:r>
      <w:r>
        <w:t xml:space="preserve"> </w:t>
      </w:r>
      <w:r w:rsidR="00D83ED6">
        <w:tab/>
      </w:r>
      <w:r>
        <w:t xml:space="preserve">Directive 2022/2381 of 23 November 2022 on improving the gender balance among directors of listed companies and related measures, </w:t>
      </w:r>
      <w:r w:rsidRPr="00D83ED6">
        <w:rPr>
          <w:i/>
          <w:iCs/>
        </w:rPr>
        <w:t>OJ L 315, 7</w:t>
      </w:r>
      <w:r w:rsidR="00D83ED6" w:rsidRPr="00D83ED6">
        <w:rPr>
          <w:i/>
          <w:iCs/>
        </w:rPr>
        <w:t>.</w:t>
      </w:r>
      <w:r w:rsidRPr="00D83ED6">
        <w:rPr>
          <w:i/>
          <w:iCs/>
        </w:rPr>
        <w:t>12</w:t>
      </w:r>
      <w:r w:rsidR="00D83ED6" w:rsidRPr="00D83ED6">
        <w:rPr>
          <w:i/>
          <w:iCs/>
        </w:rPr>
        <w:t>.</w:t>
      </w:r>
      <w:r w:rsidRPr="00D83ED6">
        <w:rPr>
          <w:i/>
          <w:iCs/>
        </w:rPr>
        <w:t>2022, p. 44.</w:t>
      </w:r>
      <w:r w:rsidR="00D83ED6">
        <w:t xml:space="preserve"> </w:t>
      </w:r>
    </w:p>
  </w:footnote>
  <w:footnote w:id="47">
    <w:p w14:paraId="7D6A4018" w14:textId="324A5130" w:rsidR="003C1BAC" w:rsidRDefault="003C1BAC" w:rsidP="007E0490">
      <w:pPr>
        <w:pStyle w:val="FootnoteText"/>
        <w:ind w:left="357" w:hanging="357"/>
        <w:jc w:val="both"/>
      </w:pPr>
      <w:r>
        <w:rPr>
          <w:rStyle w:val="FootnoteReference"/>
        </w:rPr>
        <w:footnoteRef/>
      </w:r>
      <w:r>
        <w:t xml:space="preserve"> </w:t>
      </w:r>
      <w:r w:rsidR="00D83ED6">
        <w:tab/>
      </w:r>
      <w:r>
        <w:t xml:space="preserve">Directive 2023/970 of 10 May 2023 to strengthen the application of the principle of equal pay for equal work or work of equal value between men and women through pay transparency and enforcement mechanisms, </w:t>
      </w:r>
      <w:r w:rsidRPr="00CA3567">
        <w:rPr>
          <w:i/>
          <w:iCs/>
        </w:rPr>
        <w:t>OJ L 132, 17</w:t>
      </w:r>
      <w:r w:rsidR="00CA3567" w:rsidRPr="00CA3567">
        <w:rPr>
          <w:i/>
          <w:iCs/>
        </w:rPr>
        <w:t>.</w:t>
      </w:r>
      <w:r w:rsidRPr="00CA3567">
        <w:rPr>
          <w:i/>
          <w:iCs/>
        </w:rPr>
        <w:t>5</w:t>
      </w:r>
      <w:r w:rsidR="00CA3567" w:rsidRPr="00CA3567">
        <w:rPr>
          <w:i/>
          <w:iCs/>
        </w:rPr>
        <w:t>.</w:t>
      </w:r>
      <w:r w:rsidRPr="00CA3567">
        <w:rPr>
          <w:i/>
          <w:iCs/>
        </w:rPr>
        <w:t xml:space="preserve">2023, p. 21.  </w:t>
      </w:r>
    </w:p>
  </w:footnote>
  <w:footnote w:id="48">
    <w:p w14:paraId="7029C9DC" w14:textId="163435DC" w:rsidR="003C1BAC" w:rsidRDefault="003C1BAC" w:rsidP="007E0490">
      <w:pPr>
        <w:pStyle w:val="FootnoteText"/>
        <w:ind w:left="357" w:hanging="357"/>
        <w:jc w:val="both"/>
      </w:pPr>
      <w:r>
        <w:rPr>
          <w:rStyle w:val="FootnoteReference"/>
        </w:rPr>
        <w:footnoteRef/>
      </w:r>
      <w:r>
        <w:t xml:space="preserve"> </w:t>
      </w:r>
      <w:r w:rsidR="00CA3567">
        <w:tab/>
      </w:r>
      <w:r w:rsidR="00D76DF8">
        <w:t xml:space="preserve">Council Recommendation on access to affordable high-quality long-term care, of 25 November 2022, Council doc. Ref. 13948/22; </w:t>
      </w:r>
      <w:r>
        <w:t>Council recommendation on early childhood education and care: the Barcelona targets for 2030, of 29 November 2022, Council doc. ref. 14785/22.</w:t>
      </w:r>
    </w:p>
  </w:footnote>
  <w:footnote w:id="49">
    <w:p w14:paraId="33663024" w14:textId="77777777" w:rsidR="003349B7" w:rsidRPr="000F1408" w:rsidRDefault="003349B7" w:rsidP="003349B7">
      <w:pPr>
        <w:pStyle w:val="FootnoteText"/>
        <w:ind w:left="357" w:hanging="357"/>
        <w:rPr>
          <w:lang w:val="fr-BE"/>
        </w:rPr>
      </w:pPr>
      <w:r>
        <w:rPr>
          <w:rStyle w:val="FootnoteReference"/>
        </w:rPr>
        <w:footnoteRef/>
      </w:r>
      <w:r w:rsidRPr="000F1408">
        <w:rPr>
          <w:lang w:val="fr-BE"/>
        </w:rPr>
        <w:t xml:space="preserve"> </w:t>
      </w:r>
      <w:r>
        <w:rPr>
          <w:lang w:val="fr-BE"/>
        </w:rPr>
        <w:tab/>
      </w:r>
      <w:hyperlink r:id="rId24" w:history="1">
        <w:r w:rsidRPr="00FC0E78">
          <w:rPr>
            <w:rStyle w:val="Hyperlink"/>
            <w:lang w:val="fr-BE"/>
          </w:rPr>
          <w:t>EU Anti-racism Action Plan 2020-2025 (europa.eu)</w:t>
        </w:r>
      </w:hyperlink>
    </w:p>
  </w:footnote>
  <w:footnote w:id="50">
    <w:p w14:paraId="6320D6A2" w14:textId="77777777" w:rsidR="00FC5A67" w:rsidRPr="00722332" w:rsidRDefault="00FC5A67" w:rsidP="00FC5A67">
      <w:pPr>
        <w:pStyle w:val="FootnoteText"/>
        <w:ind w:left="357" w:hanging="357"/>
        <w:rPr>
          <w:lang w:val="fr-BE"/>
        </w:rPr>
      </w:pPr>
      <w:r>
        <w:rPr>
          <w:rStyle w:val="FootnoteReference"/>
        </w:rPr>
        <w:footnoteRef/>
      </w:r>
      <w:r w:rsidRPr="000F1408">
        <w:rPr>
          <w:lang w:val="fr-BE"/>
        </w:rPr>
        <w:t xml:space="preserve"> </w:t>
      </w:r>
      <w:r w:rsidRPr="000F1408">
        <w:rPr>
          <w:lang w:val="fr-BE"/>
        </w:rPr>
        <w:tab/>
      </w:r>
      <w:hyperlink r:id="rId25" w:history="1">
        <w:r w:rsidRPr="00722332">
          <w:rPr>
            <w:rStyle w:val="Hyperlink"/>
            <w:lang w:val="fr-BE"/>
          </w:rPr>
          <w:t>https://commission.europa.eu/system/files/2022-05/common_guiding_principles_for_national_action_plans_against_racism_and_racial_discrimination.pdf</w:t>
        </w:r>
      </w:hyperlink>
      <w:r w:rsidRPr="00722332">
        <w:rPr>
          <w:lang w:val="fr-BE"/>
        </w:rPr>
        <w:t xml:space="preserve"> </w:t>
      </w:r>
    </w:p>
  </w:footnote>
  <w:footnote w:id="51">
    <w:p w14:paraId="0853FA87" w14:textId="77777777" w:rsidR="00DC75B4" w:rsidRPr="005C7942" w:rsidRDefault="00DC75B4" w:rsidP="00DC75B4">
      <w:pPr>
        <w:pStyle w:val="FootnoteText"/>
        <w:ind w:left="357" w:hanging="357"/>
        <w:jc w:val="both"/>
      </w:pPr>
      <w:r>
        <w:rPr>
          <w:rStyle w:val="FootnoteReference"/>
        </w:rPr>
        <w:footnoteRef/>
      </w:r>
      <w:r>
        <w:t xml:space="preserve"> </w:t>
      </w:r>
      <w:r>
        <w:tab/>
      </w:r>
      <w:r w:rsidRPr="00B82A49">
        <w:t>Council Framework Decision 2008/913/JHA of 28 November 2008 on combating certain forms and expressions of racism and xenophobia by means of criminal law</w:t>
      </w:r>
      <w:r>
        <w:t>.</w:t>
      </w:r>
    </w:p>
  </w:footnote>
  <w:footnote w:id="52">
    <w:p w14:paraId="18BED2E1" w14:textId="77777777" w:rsidR="00DC75B4" w:rsidRPr="005C7942" w:rsidRDefault="00DC75B4" w:rsidP="00DC75B4">
      <w:pPr>
        <w:pStyle w:val="FootnoteText"/>
        <w:ind w:left="357" w:hanging="357"/>
        <w:jc w:val="both"/>
      </w:pPr>
      <w:r>
        <w:rPr>
          <w:rStyle w:val="FootnoteReference"/>
        </w:rPr>
        <w:footnoteRef/>
      </w:r>
      <w:r>
        <w:t xml:space="preserve"> </w:t>
      </w:r>
      <w:r>
        <w:tab/>
      </w:r>
      <w:r w:rsidRPr="00B257C2">
        <w:t>C</w:t>
      </w:r>
      <w:r>
        <w:t xml:space="preserve">ommunication from the Commission to the European Parliament and the Council - </w:t>
      </w:r>
      <w:r w:rsidRPr="00B257C2">
        <w:t>A more inclusive and protective Europe: extending the list of EU crimes to hate speech and hate crime</w:t>
      </w:r>
      <w:r>
        <w:t>, COM(2021)777 final.</w:t>
      </w:r>
    </w:p>
  </w:footnote>
  <w:footnote w:id="53">
    <w:p w14:paraId="6BACC04D" w14:textId="6D8A894C" w:rsidR="00DC75B4" w:rsidRPr="00A656E8" w:rsidRDefault="00DC75B4" w:rsidP="00373866">
      <w:pPr>
        <w:pStyle w:val="FootnoteText"/>
        <w:ind w:left="357" w:hanging="357"/>
      </w:pPr>
      <w:r>
        <w:rPr>
          <w:rStyle w:val="FootnoteReference"/>
        </w:rPr>
        <w:footnoteRef/>
      </w:r>
      <w:r>
        <w:t xml:space="preserve"> </w:t>
      </w:r>
      <w:r w:rsidR="00ED076C">
        <w:tab/>
      </w:r>
      <w:hyperlink r:id="rId26" w:history="1">
        <w:r w:rsidR="00ED076C" w:rsidRPr="00ED076C">
          <w:rPr>
            <w:rStyle w:val="Hyperlink"/>
          </w:rPr>
          <w:t>https://commission.europa.eu/strategy-and-policy/policies/justice-and-fundamental-rights/combatting-discrimination/racism-and-xenophobia/eu-code-conduct-countering-illegal-hate-speech-online_en</w:t>
        </w:r>
      </w:hyperlink>
      <w:r>
        <w:t xml:space="preserve"> </w:t>
      </w:r>
    </w:p>
  </w:footnote>
  <w:footnote w:id="54">
    <w:p w14:paraId="14D08C86" w14:textId="77777777" w:rsidR="003349B7" w:rsidRPr="004D16FB" w:rsidRDefault="003349B7" w:rsidP="003349B7">
      <w:pPr>
        <w:pStyle w:val="FootnoteText"/>
        <w:ind w:left="357" w:hanging="357"/>
        <w:jc w:val="both"/>
      </w:pPr>
      <w:r>
        <w:rPr>
          <w:rStyle w:val="FootnoteReference"/>
        </w:rPr>
        <w:footnoteRef/>
      </w:r>
      <w:r>
        <w:t xml:space="preserve"> </w:t>
      </w:r>
      <w:r>
        <w:tab/>
        <w:t>Communication from the Commission to the European Parliament and the Council, A Union of Equality: EU Roma strategic framework for equality, inclusion and participation, COM(2020)620 final.</w:t>
      </w:r>
    </w:p>
  </w:footnote>
  <w:footnote w:id="55">
    <w:p w14:paraId="2B5DBCE6" w14:textId="77777777" w:rsidR="003349B7" w:rsidRPr="00D9602E" w:rsidRDefault="003349B7" w:rsidP="003349B7">
      <w:pPr>
        <w:pStyle w:val="FootnoteText"/>
        <w:ind w:left="357" w:hanging="357"/>
        <w:jc w:val="both"/>
        <w:rPr>
          <w:lang w:val="en-IE"/>
        </w:rPr>
      </w:pPr>
      <w:r>
        <w:rPr>
          <w:rStyle w:val="FootnoteReference"/>
        </w:rPr>
        <w:footnoteRef/>
      </w:r>
      <w:r w:rsidRPr="00D9602E">
        <w:rPr>
          <w:lang w:val="en-IE"/>
        </w:rPr>
        <w:t xml:space="preserve"> </w:t>
      </w:r>
      <w:r w:rsidRPr="00D9602E">
        <w:rPr>
          <w:lang w:val="en-IE"/>
        </w:rPr>
        <w:tab/>
        <w:t>Communication from the Commission t</w:t>
      </w:r>
      <w:r>
        <w:rPr>
          <w:lang w:val="en-IE"/>
        </w:rPr>
        <w:t>o the European Parliament, the Council, the European Economic and Social Committee and the Committee of the Regions – Assessment report of the Member States’ national Roma strategic frameworks, COM(2023)7 final.</w:t>
      </w:r>
    </w:p>
  </w:footnote>
  <w:footnote w:id="56">
    <w:p w14:paraId="56394E0B" w14:textId="75B948A3" w:rsidR="00373866" w:rsidRPr="00373866" w:rsidRDefault="00373866" w:rsidP="00373866">
      <w:pPr>
        <w:pStyle w:val="FootnoteText"/>
        <w:ind w:left="357" w:hanging="357"/>
        <w:jc w:val="both"/>
      </w:pPr>
      <w:r>
        <w:rPr>
          <w:rStyle w:val="FootnoteReference"/>
        </w:rPr>
        <w:footnoteRef/>
      </w:r>
      <w:r>
        <w:t xml:space="preserve">  </w:t>
      </w:r>
      <w:r>
        <w:tab/>
        <w:t>In addition, a</w:t>
      </w:r>
      <w:r w:rsidRPr="00373866">
        <w:t xml:space="preserve"> corresponding thematic enabling condition </w:t>
      </w:r>
      <w:r>
        <w:t>was</w:t>
      </w:r>
      <w:r w:rsidRPr="00373866">
        <w:t xml:space="preserve"> introduced into the Common Provisions Regulation for the ESF+, requiring that, where Member States select this specific objective, they have a national Roma inclusion strategic policy framework in place</w:t>
      </w:r>
      <w:r>
        <w:t xml:space="preserve">. See </w:t>
      </w:r>
      <w:r w:rsidRPr="004D3707">
        <w:t>Regulation (EU) 2021/1060 of the European Parliament and of the Council of 24 June 2021 laying down common provisions on the European Regional Development Fund, the European Social Fund Plus, the Cohesion Fund, the Just Transition Fund and the European Maritime, Fisheries and Aquaculture Fund and financial rules for those and for the Asylum, Migration and Integration Fund, the Internal Security Fund and the Instrument for Financial Support for Border Management and Visa Policy</w:t>
      </w:r>
      <w:r>
        <w:t xml:space="preserve">, </w:t>
      </w:r>
      <w:r w:rsidRPr="004D3707">
        <w:rPr>
          <w:i/>
          <w:iCs/>
        </w:rPr>
        <w:t>OJ L 231, 30.6.2021, p. 159-706</w:t>
      </w:r>
      <w:r>
        <w:t>.</w:t>
      </w:r>
    </w:p>
  </w:footnote>
  <w:footnote w:id="57">
    <w:p w14:paraId="4624809F" w14:textId="77777777" w:rsidR="003349B7" w:rsidRPr="00CA3567" w:rsidRDefault="003349B7" w:rsidP="003349B7">
      <w:pPr>
        <w:pStyle w:val="FootnoteText"/>
        <w:ind w:left="357" w:hanging="357"/>
        <w:jc w:val="both"/>
      </w:pPr>
      <w:r>
        <w:rPr>
          <w:rStyle w:val="FootnoteReference"/>
        </w:rPr>
        <w:footnoteRef/>
      </w:r>
      <w:r>
        <w:t xml:space="preserve"> </w:t>
      </w:r>
      <w:r>
        <w:tab/>
      </w:r>
      <w:hyperlink r:id="rId27" w:history="1">
        <w:r w:rsidRPr="00C05595">
          <w:rPr>
            <w:rStyle w:val="Hyperlink"/>
          </w:rPr>
          <w:t>https://commission.europa.eu/strategy-and-policy/policies/justice-and-fundamental-rights/combatting-discrimination/racism-and-xenophobia/combating-antisemitism/eu-strategy-combating-antisemitism-and-fostering-jewish-life-2021-2030/about-eu-strategy_en</w:t>
        </w:r>
      </w:hyperlink>
      <w:r>
        <w:t xml:space="preserve"> </w:t>
      </w:r>
    </w:p>
  </w:footnote>
  <w:footnote w:id="58">
    <w:p w14:paraId="01672F07" w14:textId="77777777" w:rsidR="003349B7" w:rsidRPr="00CA3567" w:rsidRDefault="003349B7" w:rsidP="003349B7">
      <w:pPr>
        <w:pStyle w:val="FootnoteText"/>
        <w:ind w:left="357" w:hanging="357"/>
        <w:jc w:val="both"/>
      </w:pPr>
      <w:r>
        <w:rPr>
          <w:rStyle w:val="FootnoteReference"/>
        </w:rPr>
        <w:footnoteRef/>
      </w:r>
      <w:r>
        <w:t xml:space="preserve"> </w:t>
      </w:r>
      <w:r>
        <w:tab/>
      </w:r>
      <w:hyperlink r:id="rId28" w:history="1">
        <w:r w:rsidRPr="00C05595">
          <w:rPr>
            <w:rStyle w:val="Hyperlink"/>
          </w:rPr>
          <w:t>https://www.consilium.europa.eu/en/press/press-releases/2022/03/04/council-adopts-conclusions-on-combating-racism-and-antisemitism/</w:t>
        </w:r>
      </w:hyperlink>
      <w:r>
        <w:t xml:space="preserve"> </w:t>
      </w:r>
    </w:p>
  </w:footnote>
  <w:footnote w:id="59">
    <w:p w14:paraId="7BB9E4FB" w14:textId="68197F3E" w:rsidR="007E0490" w:rsidRPr="007E0490" w:rsidRDefault="007E0490" w:rsidP="00BA40FE">
      <w:pPr>
        <w:pStyle w:val="FootnoteText"/>
        <w:ind w:left="357" w:hanging="357"/>
        <w:jc w:val="both"/>
      </w:pPr>
      <w:r>
        <w:rPr>
          <w:rStyle w:val="FootnoteReference"/>
        </w:rPr>
        <w:footnoteRef/>
      </w:r>
      <w:r>
        <w:t xml:space="preserve"> </w:t>
      </w:r>
      <w:r>
        <w:tab/>
        <w:t xml:space="preserve">Communication from the Commission to the European </w:t>
      </w:r>
      <w:r w:rsidR="002E5164">
        <w:t>P</w:t>
      </w:r>
      <w:r>
        <w:t>arliament, the Council, the European Economic and Social Committee and the Committee of the Regions, Union of Equality: Strategy for the Rights of Persons with Disabilities 2021-2030, COM(2021)101 final.</w:t>
      </w:r>
    </w:p>
  </w:footnote>
  <w:footnote w:id="60">
    <w:p w14:paraId="67DB1A8A" w14:textId="4CE63AFA" w:rsidR="00CA3567" w:rsidRPr="00CA3567" w:rsidRDefault="00CA3567" w:rsidP="00BA40FE">
      <w:pPr>
        <w:pStyle w:val="FootnoteText"/>
        <w:ind w:left="357" w:hanging="357"/>
        <w:jc w:val="both"/>
      </w:pPr>
      <w:r>
        <w:rPr>
          <w:rStyle w:val="FootnoteReference"/>
        </w:rPr>
        <w:footnoteRef/>
      </w:r>
      <w:r>
        <w:t xml:space="preserve"> </w:t>
      </w:r>
      <w:r>
        <w:tab/>
      </w:r>
      <w:hyperlink r:id="rId29" w:history="1">
        <w:r w:rsidRPr="00C05595">
          <w:rPr>
            <w:rStyle w:val="Hyperlink"/>
          </w:rPr>
          <w:t>https://ec.europa.eu/social/main.jsp?catId=1597&amp;langId=en</w:t>
        </w:r>
      </w:hyperlink>
      <w:r>
        <w:t xml:space="preserve"> </w:t>
      </w:r>
    </w:p>
  </w:footnote>
  <w:footnote w:id="61">
    <w:p w14:paraId="5BEFB479" w14:textId="77777777" w:rsidR="00DC7CF2" w:rsidRPr="00BC1FA7" w:rsidRDefault="00DC7CF2" w:rsidP="00BA40FE">
      <w:pPr>
        <w:pStyle w:val="FootnoteText"/>
        <w:ind w:left="357" w:hanging="357"/>
        <w:jc w:val="both"/>
      </w:pPr>
      <w:r>
        <w:rPr>
          <w:rStyle w:val="FootnoteReference"/>
        </w:rPr>
        <w:footnoteRef/>
      </w:r>
      <w:r>
        <w:t xml:space="preserve"> </w:t>
      </w:r>
      <w:r>
        <w:tab/>
        <w:t>Proposal for a Directive of the European Parliament and of the Council establishing the European Disability Card and the European Parking Card for persons with disabilities, COM(2023)512 final.</w:t>
      </w:r>
    </w:p>
  </w:footnote>
  <w:footnote w:id="62">
    <w:p w14:paraId="15EB7647" w14:textId="77777777" w:rsidR="00DC7CF2" w:rsidRPr="002765C7" w:rsidRDefault="00DC7CF2" w:rsidP="00BA40FE">
      <w:pPr>
        <w:pStyle w:val="FootnoteText"/>
        <w:ind w:left="357" w:hanging="357"/>
        <w:jc w:val="both"/>
        <w:rPr>
          <w:lang w:val="en-IE"/>
        </w:rPr>
      </w:pPr>
      <w:r>
        <w:rPr>
          <w:rStyle w:val="FootnoteReference"/>
        </w:rPr>
        <w:footnoteRef/>
      </w:r>
      <w:r w:rsidRPr="002765C7">
        <w:rPr>
          <w:lang w:val="en-IE"/>
        </w:rPr>
        <w:t xml:space="preserve"> </w:t>
      </w:r>
      <w:r w:rsidRPr="002765C7">
        <w:rPr>
          <w:lang w:val="en-IE"/>
        </w:rPr>
        <w:tab/>
      </w:r>
      <w:hyperlink r:id="rId30" w:history="1">
        <w:r w:rsidRPr="002765C7">
          <w:rPr>
            <w:rStyle w:val="Hyperlink"/>
            <w:lang w:val="en-IE"/>
          </w:rPr>
          <w:t>https://ec.europa.eu/info/law/better-regulation/have-your-say/initiatives/13517-European-disability-card_en</w:t>
        </w:r>
      </w:hyperlink>
      <w:r w:rsidRPr="002765C7">
        <w:rPr>
          <w:lang w:val="en-IE"/>
        </w:rPr>
        <w:t xml:space="preserve"> </w:t>
      </w:r>
    </w:p>
  </w:footnote>
  <w:footnote w:id="63">
    <w:p w14:paraId="0D627C5B" w14:textId="583724F9" w:rsidR="006F035B" w:rsidRPr="00BF652A" w:rsidRDefault="006F035B" w:rsidP="00BF652A">
      <w:pPr>
        <w:pStyle w:val="FootnoteText"/>
        <w:ind w:left="357" w:hanging="357"/>
        <w:jc w:val="both"/>
        <w:rPr>
          <w:lang w:val="en-IE"/>
        </w:rPr>
      </w:pPr>
      <w:r>
        <w:rPr>
          <w:rStyle w:val="FootnoteReference"/>
        </w:rPr>
        <w:footnoteRef/>
      </w:r>
      <w:r>
        <w:t xml:space="preserve"> </w:t>
      </w:r>
      <w:r>
        <w:tab/>
      </w:r>
      <w:r w:rsidRPr="006F035B">
        <w:t>PRMs will be also protected from discrimination when performing multimodal journeys and will be assisted at connecting points by carriers and terminal operators where they travel under a single contract of carriage. In case of certain multimodal passenger hubs, they will be able to pre-notify their journey to all the operators concerned by means of one single notification, using the Single Contact Points established on the basis of the new legislation.</w:t>
      </w:r>
    </w:p>
  </w:footnote>
  <w:footnote w:id="64">
    <w:p w14:paraId="633E303E" w14:textId="43C2BC28" w:rsidR="006F035B" w:rsidRPr="00BF652A" w:rsidRDefault="006F035B" w:rsidP="00A71DC0">
      <w:pPr>
        <w:pStyle w:val="FootnoteText"/>
        <w:ind w:left="357" w:hanging="357"/>
        <w:jc w:val="both"/>
        <w:rPr>
          <w:lang w:val="en-IE"/>
        </w:rPr>
      </w:pPr>
      <w:r>
        <w:rPr>
          <w:rStyle w:val="FootnoteReference"/>
        </w:rPr>
        <w:footnoteRef/>
      </w:r>
      <w:r>
        <w:t xml:space="preserve"> </w:t>
      </w:r>
      <w:r>
        <w:tab/>
      </w:r>
      <w:r w:rsidRPr="006F035B">
        <w:t>Regulation (EU) 2021/782 of the European Parliament and of the Council of 29 April 2021 on rail passengers’ rights and obligations (recast)</w:t>
      </w:r>
      <w:r>
        <w:t xml:space="preserve">, </w:t>
      </w:r>
      <w:r w:rsidRPr="00BF652A">
        <w:rPr>
          <w:i/>
          <w:iCs/>
        </w:rPr>
        <w:t>OJ L 172, 17.5.2021, p.1-52</w:t>
      </w:r>
      <w:r>
        <w:t>.</w:t>
      </w:r>
    </w:p>
  </w:footnote>
  <w:footnote w:id="65">
    <w:p w14:paraId="6037176C" w14:textId="1D7FFC10" w:rsidR="005D01F7" w:rsidRPr="00DA40CD" w:rsidRDefault="005D01F7" w:rsidP="00A71DC0">
      <w:pPr>
        <w:pStyle w:val="FootnoteText"/>
        <w:ind w:left="357" w:hanging="357"/>
        <w:jc w:val="both"/>
        <w:rPr>
          <w:lang w:val="en-IE"/>
        </w:rPr>
      </w:pPr>
      <w:r>
        <w:rPr>
          <w:rStyle w:val="FootnoteReference"/>
        </w:rPr>
        <w:footnoteRef/>
      </w:r>
      <w:r>
        <w:t xml:space="preserve"> </w:t>
      </w:r>
      <w:r>
        <w:tab/>
      </w:r>
      <w:r w:rsidRPr="00246530">
        <w:rPr>
          <w:lang w:val="en-US"/>
        </w:rPr>
        <w:t>Council Directive 2000/78/EC of 27 November 2000 establishing a general framework for equal treatment in employment and occupation.</w:t>
      </w:r>
    </w:p>
  </w:footnote>
  <w:footnote w:id="66">
    <w:p w14:paraId="727C1BA8" w14:textId="77777777" w:rsidR="003349B7" w:rsidRPr="007E0490" w:rsidRDefault="003349B7" w:rsidP="003349B7">
      <w:pPr>
        <w:pStyle w:val="FootnoteText"/>
        <w:ind w:left="357" w:hanging="357"/>
        <w:jc w:val="both"/>
      </w:pPr>
      <w:r>
        <w:rPr>
          <w:rStyle w:val="FootnoteReference"/>
        </w:rPr>
        <w:footnoteRef/>
      </w:r>
      <w:r>
        <w:t xml:space="preserve"> </w:t>
      </w:r>
      <w:r>
        <w:tab/>
        <w:t>C</w:t>
      </w:r>
      <w:r w:rsidRPr="007E0490">
        <w:t xml:space="preserve">ommunication from the </w:t>
      </w:r>
      <w:r>
        <w:t>C</w:t>
      </w:r>
      <w:r w:rsidRPr="007E0490">
        <w:t xml:space="preserve">ommission to the </w:t>
      </w:r>
      <w:r>
        <w:t>E</w:t>
      </w:r>
      <w:r w:rsidRPr="007E0490">
        <w:t xml:space="preserve">uropean </w:t>
      </w:r>
      <w:r>
        <w:t>P</w:t>
      </w:r>
      <w:r w:rsidRPr="007E0490">
        <w:t xml:space="preserve">arliament, the </w:t>
      </w:r>
      <w:r>
        <w:t>C</w:t>
      </w:r>
      <w:r w:rsidRPr="007E0490">
        <w:t xml:space="preserve">ouncil, the </w:t>
      </w:r>
      <w:r>
        <w:t>E</w:t>
      </w:r>
      <w:r w:rsidRPr="007E0490">
        <w:t xml:space="preserve">uropean </w:t>
      </w:r>
      <w:r>
        <w:t>E</w:t>
      </w:r>
      <w:r w:rsidRPr="007E0490">
        <w:t xml:space="preserve">conomic and </w:t>
      </w:r>
      <w:r>
        <w:t>S</w:t>
      </w:r>
      <w:r w:rsidRPr="007E0490">
        <w:t xml:space="preserve">ocial </w:t>
      </w:r>
      <w:r>
        <w:t>C</w:t>
      </w:r>
      <w:r w:rsidRPr="007E0490">
        <w:t xml:space="preserve">ommittee and the </w:t>
      </w:r>
      <w:r>
        <w:t>C</w:t>
      </w:r>
      <w:r w:rsidRPr="007E0490">
        <w:t xml:space="preserve">ommittee of the </w:t>
      </w:r>
      <w:r>
        <w:t>R</w:t>
      </w:r>
      <w:r w:rsidRPr="007E0490">
        <w:t>egions</w:t>
      </w:r>
      <w:r>
        <w:t>, EU</w:t>
      </w:r>
      <w:r w:rsidRPr="007E0490">
        <w:t xml:space="preserve"> strategy on the rights of the child</w:t>
      </w:r>
      <w:r>
        <w:t>, COM(2021)142 final.</w:t>
      </w:r>
    </w:p>
  </w:footnote>
  <w:footnote w:id="67">
    <w:p w14:paraId="1E3DF38B" w14:textId="77777777" w:rsidR="003349B7" w:rsidRPr="005E6BDD" w:rsidRDefault="003349B7" w:rsidP="003349B7">
      <w:pPr>
        <w:pStyle w:val="FootnoteText"/>
        <w:ind w:left="357" w:hanging="357"/>
      </w:pPr>
      <w:r>
        <w:rPr>
          <w:rStyle w:val="FootnoteReference"/>
        </w:rPr>
        <w:footnoteRef/>
      </w:r>
      <w:r>
        <w:t xml:space="preserve"> </w:t>
      </w:r>
      <w:r>
        <w:tab/>
      </w:r>
      <w:hyperlink r:id="rId31" w:history="1">
        <w:r w:rsidRPr="00196704">
          <w:rPr>
            <w:rStyle w:val="Hyperlink"/>
          </w:rPr>
          <w:t>https://eu-for-children.europa.eu/</w:t>
        </w:r>
      </w:hyperlink>
      <w:r>
        <w:t xml:space="preserve"> </w:t>
      </w:r>
    </w:p>
  </w:footnote>
  <w:footnote w:id="68">
    <w:p w14:paraId="49B4EA8C" w14:textId="77777777" w:rsidR="003349B7" w:rsidRPr="00DA40CD" w:rsidRDefault="003349B7" w:rsidP="003349B7">
      <w:pPr>
        <w:pStyle w:val="FootnoteText"/>
        <w:ind w:left="357" w:hanging="357"/>
        <w:rPr>
          <w:lang w:val="en-IE"/>
        </w:rPr>
      </w:pPr>
      <w:r>
        <w:rPr>
          <w:rStyle w:val="FootnoteReference"/>
        </w:rPr>
        <w:footnoteRef/>
      </w:r>
      <w:r>
        <w:t xml:space="preserve"> </w:t>
      </w:r>
      <w:r>
        <w:tab/>
        <w:t>Council Recommendation (EU) 2021/1004 of 14 June 2021 establishing a European Child Guarantee.</w:t>
      </w:r>
    </w:p>
  </w:footnote>
  <w:footnote w:id="69">
    <w:p w14:paraId="3C96C88A" w14:textId="77777777" w:rsidR="003349B7" w:rsidRPr="00D9602E" w:rsidRDefault="003349B7" w:rsidP="003349B7">
      <w:pPr>
        <w:pStyle w:val="FootnoteText"/>
        <w:widowControl w:val="0"/>
        <w:ind w:left="357" w:hanging="357"/>
        <w:jc w:val="both"/>
        <w:rPr>
          <w:lang w:val="en-IE"/>
        </w:rPr>
      </w:pPr>
      <w:r>
        <w:rPr>
          <w:rStyle w:val="FootnoteReference"/>
        </w:rPr>
        <w:footnoteRef/>
      </w:r>
      <w:r w:rsidRPr="00D9602E">
        <w:rPr>
          <w:lang w:val="en-IE"/>
        </w:rPr>
        <w:t xml:space="preserve"> </w:t>
      </w:r>
      <w:r w:rsidRPr="00D9602E">
        <w:rPr>
          <w:lang w:val="en-IE"/>
        </w:rPr>
        <w:tab/>
      </w:r>
      <w:hyperlink r:id="rId32" w:history="1">
        <w:r w:rsidRPr="00D9602E">
          <w:rPr>
            <w:rStyle w:val="Hyperlink"/>
            <w:lang w:val="en-IE"/>
          </w:rPr>
          <w:t>https://ec.europa.eu/commission/presscorner/detail/en/ip_22_7509</w:t>
        </w:r>
      </w:hyperlink>
      <w:r w:rsidRPr="00D9602E">
        <w:rPr>
          <w:lang w:val="en-IE"/>
        </w:rPr>
        <w:t>; Proposal for</w:t>
      </w:r>
      <w:r>
        <w:rPr>
          <w:lang w:val="en-IE"/>
        </w:rPr>
        <w:t xml:space="preserve"> a Council Regulation on jurisdiction, applicable law, recognition of decisions and acceptance of authentic instruments in matters of parenthood and on the creation of a European Certificate of Parenthood, COM(2022)695 final. This proposal is based on Article </w:t>
      </w:r>
      <w:r w:rsidRPr="00104F0C">
        <w:rPr>
          <w:lang w:val="en-IE"/>
        </w:rPr>
        <w:t>81(3) TFEU</w:t>
      </w:r>
      <w:r>
        <w:rPr>
          <w:lang w:val="en-IE"/>
        </w:rPr>
        <w:t xml:space="preserve">, providing for Union competence to adopt </w:t>
      </w:r>
      <w:r w:rsidRPr="00CF3BF6">
        <w:rPr>
          <w:lang w:val="en-IE"/>
        </w:rPr>
        <w:t>measures concerning family law with cross-border implications</w:t>
      </w:r>
      <w:r>
        <w:rPr>
          <w:lang w:val="en-IE"/>
        </w:rPr>
        <w:t>.</w:t>
      </w:r>
    </w:p>
  </w:footnote>
  <w:footnote w:id="70">
    <w:p w14:paraId="7F981B23" w14:textId="77777777" w:rsidR="003349B7" w:rsidRPr="004C374D" w:rsidRDefault="003349B7" w:rsidP="003349B7">
      <w:pPr>
        <w:pStyle w:val="FootnoteText"/>
        <w:ind w:left="357" w:hanging="357"/>
        <w:jc w:val="both"/>
      </w:pPr>
      <w:r>
        <w:rPr>
          <w:rStyle w:val="FootnoteReference"/>
        </w:rPr>
        <w:footnoteRef/>
      </w:r>
      <w:r>
        <w:t xml:space="preserve"> </w:t>
      </w:r>
      <w:r>
        <w:tab/>
        <w:t>For the exercise of the rights derived from EU law Member States are already bound by the case law of the Court to recognise parenthood established in another Member States. These rights include, but are not limited to, free movement rights.</w:t>
      </w:r>
    </w:p>
  </w:footnote>
  <w:footnote w:id="71">
    <w:p w14:paraId="7C56CEB7" w14:textId="77777777" w:rsidR="003349B7" w:rsidRPr="007E0490" w:rsidRDefault="003349B7" w:rsidP="003349B7">
      <w:pPr>
        <w:pStyle w:val="FootnoteText"/>
        <w:ind w:left="357" w:hanging="357"/>
        <w:jc w:val="both"/>
      </w:pPr>
      <w:r>
        <w:rPr>
          <w:rStyle w:val="FootnoteReference"/>
        </w:rPr>
        <w:footnoteRef/>
      </w:r>
      <w:r>
        <w:t xml:space="preserve"> </w:t>
      </w:r>
      <w:r>
        <w:tab/>
        <w:t>C</w:t>
      </w:r>
      <w:r w:rsidRPr="007E0490">
        <w:t xml:space="preserve">ommunication from the </w:t>
      </w:r>
      <w:r>
        <w:t>C</w:t>
      </w:r>
      <w:r w:rsidRPr="007E0490">
        <w:t>ommission to the</w:t>
      </w:r>
      <w:r>
        <w:t xml:space="preserve"> E</w:t>
      </w:r>
      <w:r w:rsidRPr="007E0490">
        <w:t xml:space="preserve">uropean </w:t>
      </w:r>
      <w:r>
        <w:t>P</w:t>
      </w:r>
      <w:r w:rsidRPr="007E0490">
        <w:t xml:space="preserve">arliament, the </w:t>
      </w:r>
      <w:r>
        <w:t>C</w:t>
      </w:r>
      <w:r w:rsidRPr="007E0490">
        <w:t xml:space="preserve">ouncil, the </w:t>
      </w:r>
      <w:r>
        <w:t>E</w:t>
      </w:r>
      <w:r w:rsidRPr="007E0490">
        <w:t xml:space="preserve">uropean </w:t>
      </w:r>
      <w:r>
        <w:t>E</w:t>
      </w:r>
      <w:r w:rsidRPr="007E0490">
        <w:t xml:space="preserve">conomic and </w:t>
      </w:r>
      <w:r>
        <w:t>S</w:t>
      </w:r>
      <w:r w:rsidRPr="007E0490">
        <w:t xml:space="preserve">ocial </w:t>
      </w:r>
      <w:r>
        <w:t>C</w:t>
      </w:r>
      <w:r w:rsidRPr="007E0490">
        <w:t xml:space="preserve">ommittee and the </w:t>
      </w:r>
      <w:r>
        <w:t>C</w:t>
      </w:r>
      <w:r w:rsidRPr="007E0490">
        <w:t xml:space="preserve">ommittee of the </w:t>
      </w:r>
      <w:r>
        <w:t>R</w:t>
      </w:r>
      <w:r w:rsidRPr="007E0490">
        <w:t>egions</w:t>
      </w:r>
      <w:r>
        <w:t xml:space="preserve">: </w:t>
      </w:r>
      <w:r w:rsidRPr="007E0490">
        <w:t>Union of Equality: LGBTIQ Equality Strategy 2020-2025</w:t>
      </w:r>
      <w:r>
        <w:t>, COM(2020)698 final.</w:t>
      </w:r>
    </w:p>
  </w:footnote>
  <w:footnote w:id="72">
    <w:p w14:paraId="29453892" w14:textId="77777777" w:rsidR="003349B7" w:rsidRPr="00D9602E" w:rsidRDefault="003349B7" w:rsidP="003349B7">
      <w:pPr>
        <w:pStyle w:val="FootnoteText"/>
        <w:ind w:left="357" w:hanging="357"/>
        <w:jc w:val="both"/>
      </w:pPr>
      <w:r>
        <w:rPr>
          <w:rStyle w:val="FootnoteReference"/>
        </w:rPr>
        <w:footnoteRef/>
      </w:r>
      <w:r>
        <w:t xml:space="preserve"> </w:t>
      </w:r>
      <w:r>
        <w:tab/>
      </w:r>
      <w:hyperlink r:id="rId33" w:history="1">
        <w:r w:rsidRPr="00C05595">
          <w:rPr>
            <w:rStyle w:val="Hyperlink"/>
          </w:rPr>
          <w:t>https://commission.europa.eu/system/files/2023-04/JUST_LGBTIQ%20Strategy_Progress%20Report_FINAL_WEB.pdf</w:t>
        </w:r>
      </w:hyperlink>
      <w:r>
        <w:t xml:space="preserve"> </w:t>
      </w:r>
    </w:p>
  </w:footnote>
  <w:footnote w:id="73">
    <w:p w14:paraId="5F97F6B4" w14:textId="77777777" w:rsidR="003349B7" w:rsidRPr="00D9602E" w:rsidRDefault="003349B7" w:rsidP="003349B7">
      <w:pPr>
        <w:pStyle w:val="FootnoteText"/>
        <w:widowControl w:val="0"/>
        <w:ind w:left="357" w:hanging="357"/>
        <w:jc w:val="both"/>
      </w:pPr>
      <w:r>
        <w:rPr>
          <w:rStyle w:val="FootnoteReference"/>
        </w:rPr>
        <w:footnoteRef/>
      </w:r>
      <w:r>
        <w:t xml:space="preserve"> </w:t>
      </w:r>
      <w:r>
        <w:tab/>
      </w:r>
      <w:hyperlink r:id="rId34" w:history="1">
        <w:r w:rsidRPr="00C05595">
          <w:rPr>
            <w:rStyle w:val="Hyperlink"/>
          </w:rPr>
          <w:t>https://commission.europa.eu/system/files/2022-09/guidelines_for_strategies_and_action_plans_to_enhance_lgbtiq_equality_2022final16_05.pdf</w:t>
        </w:r>
      </w:hyperlink>
      <w:r>
        <w:t xml:space="preserve"> </w:t>
      </w:r>
    </w:p>
  </w:footnote>
  <w:footnote w:id="74">
    <w:p w14:paraId="096D7D09" w14:textId="01030DEE" w:rsidR="004831AF" w:rsidRPr="004831AF" w:rsidRDefault="004831AF" w:rsidP="004831AF">
      <w:pPr>
        <w:pStyle w:val="FootnoteText"/>
        <w:ind w:left="357" w:hanging="357"/>
        <w:jc w:val="both"/>
      </w:pPr>
      <w:r>
        <w:rPr>
          <w:rStyle w:val="FootnoteReference"/>
        </w:rPr>
        <w:footnoteRef/>
      </w:r>
      <w:r>
        <w:t xml:space="preserve"> </w:t>
      </w:r>
      <w:r>
        <w:tab/>
        <w:t>C</w:t>
      </w:r>
      <w:r w:rsidRPr="0053070F">
        <w:t xml:space="preserve">ommunication from the </w:t>
      </w:r>
      <w:r>
        <w:t>C</w:t>
      </w:r>
      <w:r w:rsidRPr="0053070F">
        <w:t xml:space="preserve">ommission to the </w:t>
      </w:r>
      <w:r>
        <w:t>E</w:t>
      </w:r>
      <w:r w:rsidRPr="0053070F">
        <w:t xml:space="preserve">uropean </w:t>
      </w:r>
      <w:r>
        <w:t>P</w:t>
      </w:r>
      <w:r w:rsidRPr="0053070F">
        <w:t xml:space="preserve">arliament, the </w:t>
      </w:r>
      <w:r>
        <w:t>C</w:t>
      </w:r>
      <w:r w:rsidRPr="0053070F">
        <w:t xml:space="preserve">ouncil, the </w:t>
      </w:r>
      <w:r>
        <w:t>E</w:t>
      </w:r>
      <w:r w:rsidRPr="0053070F">
        <w:t xml:space="preserve">uropean </w:t>
      </w:r>
      <w:r>
        <w:t>E</w:t>
      </w:r>
      <w:r w:rsidRPr="0053070F">
        <w:t xml:space="preserve">conomic and </w:t>
      </w:r>
      <w:r>
        <w:t>S</w:t>
      </w:r>
      <w:r w:rsidRPr="0053070F">
        <w:t xml:space="preserve">ocial </w:t>
      </w:r>
      <w:r>
        <w:t>C</w:t>
      </w:r>
      <w:r w:rsidRPr="0053070F">
        <w:t xml:space="preserve">ommittee and the </w:t>
      </w:r>
      <w:r>
        <w:t>C</w:t>
      </w:r>
      <w:r w:rsidRPr="0053070F">
        <w:t xml:space="preserve">ommittee of the </w:t>
      </w:r>
      <w:r>
        <w:t>R</w:t>
      </w:r>
      <w:r w:rsidRPr="0053070F">
        <w:t xml:space="preserve">egions </w:t>
      </w:r>
      <w:r>
        <w:t xml:space="preserve">- </w:t>
      </w:r>
      <w:r w:rsidRPr="0053070F">
        <w:t>Strategy to strengthen the application of the Charter of Fundamental Rights in the EU</w:t>
      </w:r>
      <w:r>
        <w:t xml:space="preserve">, </w:t>
      </w:r>
      <w:r w:rsidRPr="00096E9C">
        <w:t>COM/2020/711</w:t>
      </w:r>
      <w:r>
        <w:t>.</w:t>
      </w:r>
    </w:p>
  </w:footnote>
  <w:footnote w:id="75">
    <w:p w14:paraId="3794C9CF" w14:textId="77777777" w:rsidR="003349B7" w:rsidRPr="001C612B" w:rsidRDefault="003349B7" w:rsidP="003349B7">
      <w:pPr>
        <w:pStyle w:val="FootnoteText"/>
        <w:ind w:left="357" w:hanging="357"/>
        <w:jc w:val="both"/>
        <w:rPr>
          <w:lang w:val="en-IE"/>
        </w:rPr>
      </w:pPr>
      <w:r>
        <w:rPr>
          <w:rStyle w:val="FootnoteReference"/>
        </w:rPr>
        <w:footnoteRef/>
      </w:r>
      <w:r w:rsidRPr="001C612B">
        <w:rPr>
          <w:lang w:val="en-IE"/>
        </w:rPr>
        <w:t xml:space="preserve"> </w:t>
      </w:r>
      <w:r>
        <w:rPr>
          <w:lang w:val="en-IE"/>
        </w:rPr>
        <w:tab/>
      </w:r>
      <w:hyperlink r:id="rId35" w:history="1">
        <w:r w:rsidRPr="001C612B">
          <w:rPr>
            <w:rStyle w:val="Hyperlink"/>
            <w:lang w:val="en-IE"/>
          </w:rPr>
          <w:t>https://ec.europa.eu/commission/presscorner/detail/en/ip_22_7507</w:t>
        </w:r>
      </w:hyperlink>
      <w:r>
        <w:rPr>
          <w:lang w:val="en-IE"/>
        </w:rPr>
        <w:t xml:space="preserve">. </w:t>
      </w:r>
      <w:r w:rsidRPr="001C612B">
        <w:rPr>
          <w:lang w:val="en-IE"/>
        </w:rPr>
        <w:t xml:space="preserve">Proposal for a Council Directive </w:t>
      </w:r>
      <w:r>
        <w:t xml:space="preserve">on standards for equality bodies in the field of equal treatment between persons irrespective of their racial or ethnic origin, equal treatment in the field of employment and occupation between persons irrespective of their religion or belief, disability, age or sexual orientation, equal treatment between women and men in matters of social security and in the access to and supply of goods and services, and deleting Article 13 of Directive 2000/43/EC and Article 12 of Directive 2004/113/EC, COM(2022)689 final; Proposal for a Directive of the European Parliament and of the Council </w:t>
      </w:r>
      <w:r w:rsidRPr="001C612B">
        <w:t>on standards for equality bodies in the field of equal treatment and equal opportunities between women and men in matters of employment and occupation, and deleting Article 20 of Directive 2006/54/EC and Article 11 of Directive 2010/41/EU</w:t>
      </w:r>
      <w:r>
        <w:t>, COM(2022)688 final.</w:t>
      </w:r>
    </w:p>
  </w:footnote>
  <w:footnote w:id="76">
    <w:p w14:paraId="190481AC" w14:textId="357E69D8" w:rsidR="00ED076C" w:rsidRPr="00ED076C" w:rsidRDefault="00ED076C" w:rsidP="00FC4D4F">
      <w:pPr>
        <w:pStyle w:val="FootnoteText"/>
        <w:ind w:left="357" w:hanging="357"/>
      </w:pPr>
      <w:r>
        <w:rPr>
          <w:rStyle w:val="FootnoteReference"/>
        </w:rPr>
        <w:footnoteRef/>
      </w:r>
      <w:r>
        <w:t xml:space="preserve"> </w:t>
      </w:r>
      <w:r>
        <w:tab/>
      </w:r>
      <w:hyperlink r:id="rId36" w:history="1">
        <w:r w:rsidRPr="00ED076C">
          <w:rPr>
            <w:rStyle w:val="Hyperlink"/>
            <w:lang w:val="en-IE"/>
          </w:rPr>
          <w:t>https://eudiversity2023.eu/</w:t>
        </w:r>
      </w:hyperlink>
    </w:p>
  </w:footnote>
  <w:footnote w:id="77">
    <w:p w14:paraId="68AC50C4" w14:textId="35336170" w:rsidR="0007626E" w:rsidRPr="00BB624A" w:rsidRDefault="0007626E" w:rsidP="0007626E">
      <w:pPr>
        <w:pStyle w:val="FootnoteText"/>
        <w:ind w:left="357" w:hanging="357"/>
        <w:jc w:val="both"/>
        <w:rPr>
          <w:rFonts w:cs="Arial"/>
        </w:rPr>
      </w:pPr>
      <w:r w:rsidRPr="00BB624A">
        <w:rPr>
          <w:rStyle w:val="FootnoteReference"/>
        </w:rPr>
        <w:footnoteRef/>
      </w:r>
      <w:r w:rsidRPr="00BB624A">
        <w:t xml:space="preserve"> </w:t>
      </w:r>
      <w:r>
        <w:tab/>
      </w:r>
      <w:r w:rsidRPr="00BB624A">
        <w:t xml:space="preserve">Judgment of the Court (Second Chamber) of 13 October 2022, L.F. v S.C.R.L., </w:t>
      </w:r>
      <w:hyperlink r:id="rId37" w:history="1">
        <w:r w:rsidRPr="00BB624A">
          <w:rPr>
            <w:rStyle w:val="Hyperlink"/>
          </w:rPr>
          <w:t>C-344/20</w:t>
        </w:r>
      </w:hyperlink>
      <w:r w:rsidRPr="00BB624A">
        <w:t>, EU:C:2022:774</w:t>
      </w:r>
      <w:r w:rsidR="00C12632">
        <w:t>.</w:t>
      </w:r>
    </w:p>
  </w:footnote>
  <w:footnote w:id="78">
    <w:p w14:paraId="35A35362" w14:textId="77777777" w:rsidR="0007626E" w:rsidRPr="00BB624A" w:rsidRDefault="0007626E" w:rsidP="0007626E">
      <w:pPr>
        <w:pStyle w:val="FootnoteText"/>
        <w:ind w:left="357" w:hanging="357"/>
        <w:jc w:val="both"/>
      </w:pPr>
      <w:r w:rsidRPr="00BB624A">
        <w:rPr>
          <w:rStyle w:val="FootnoteReference"/>
        </w:rPr>
        <w:footnoteRef/>
      </w:r>
      <w:r w:rsidRPr="00BB624A">
        <w:t xml:space="preserve"> </w:t>
      </w:r>
      <w:r>
        <w:tab/>
      </w:r>
      <w:hyperlink r:id="rId38" w:anchor=":~:text=Judgment%20of%20the%20Court%20of%20Justice%20in%20Case,all%20workers%20in%20a%20general%20and%20undifferentiated%20way" w:history="1">
        <w:r w:rsidRPr="00BB624A">
          <w:rPr>
            <w:rStyle w:val="Hyperlink"/>
          </w:rPr>
          <w:t>See press release</w:t>
        </w:r>
      </w:hyperlink>
      <w:r w:rsidRPr="00BB624A">
        <w:t xml:space="preserve">. </w:t>
      </w:r>
    </w:p>
  </w:footnote>
  <w:footnote w:id="79">
    <w:p w14:paraId="440FDB03" w14:textId="0F2DDF74" w:rsidR="0007626E" w:rsidRPr="00BB624A" w:rsidRDefault="0007626E" w:rsidP="0007626E">
      <w:pPr>
        <w:pStyle w:val="FootnoteText"/>
        <w:ind w:left="357" w:hanging="357"/>
        <w:jc w:val="both"/>
      </w:pPr>
      <w:r w:rsidRPr="00BB624A">
        <w:rPr>
          <w:rStyle w:val="FootnoteReference"/>
        </w:rPr>
        <w:footnoteRef/>
      </w:r>
      <w:r w:rsidRPr="00BB624A">
        <w:t xml:space="preserve"> </w:t>
      </w:r>
      <w:r>
        <w:tab/>
      </w:r>
      <w:r w:rsidRPr="00BB624A">
        <w:t xml:space="preserve">Judgment of the Court (Second Chamber) of 2 June 2022, A v HK Danmark and HK/Privat, </w:t>
      </w:r>
      <w:hyperlink r:id="rId39" w:history="1">
        <w:r w:rsidRPr="00BB624A">
          <w:rPr>
            <w:rStyle w:val="Hyperlink"/>
          </w:rPr>
          <w:t>C-587/20</w:t>
        </w:r>
      </w:hyperlink>
      <w:r w:rsidRPr="00BB624A">
        <w:t>, EU:C:2022:419.</w:t>
      </w:r>
    </w:p>
  </w:footnote>
  <w:footnote w:id="80">
    <w:p w14:paraId="4860D131" w14:textId="77777777" w:rsidR="0007626E" w:rsidRPr="00BB624A" w:rsidRDefault="0007626E" w:rsidP="0007626E">
      <w:pPr>
        <w:pStyle w:val="FootnoteText"/>
        <w:ind w:left="357" w:hanging="357"/>
        <w:jc w:val="both"/>
      </w:pPr>
      <w:r w:rsidRPr="00BB624A">
        <w:rPr>
          <w:rStyle w:val="FootnoteReference"/>
        </w:rPr>
        <w:footnoteRef/>
      </w:r>
      <w:r w:rsidRPr="00BB624A">
        <w:t xml:space="preserve"> </w:t>
      </w:r>
      <w:r>
        <w:tab/>
      </w:r>
      <w:r w:rsidRPr="00BB624A">
        <w:t xml:space="preserve">Judgment of the Court (Second Chamber) of 12 January 2023, J.K. v TP S.A, </w:t>
      </w:r>
      <w:hyperlink r:id="rId40" w:history="1">
        <w:r w:rsidRPr="00BB624A">
          <w:rPr>
            <w:rStyle w:val="Hyperlink"/>
          </w:rPr>
          <w:t>C 356/21</w:t>
        </w:r>
      </w:hyperlink>
      <w:r w:rsidRPr="00BB624A">
        <w:t>, EU:C:2023:9.</w:t>
      </w:r>
    </w:p>
  </w:footnote>
  <w:footnote w:id="81">
    <w:p w14:paraId="2CA54567" w14:textId="19524EFB" w:rsidR="00DD25C9" w:rsidRPr="009A1008" w:rsidRDefault="00DD25C9" w:rsidP="009A1008">
      <w:pPr>
        <w:pStyle w:val="FootnoteText"/>
        <w:ind w:left="357" w:hanging="357"/>
        <w:jc w:val="both"/>
      </w:pPr>
      <w:r>
        <w:rPr>
          <w:rStyle w:val="FootnoteReference"/>
        </w:rPr>
        <w:footnoteRef/>
      </w:r>
      <w:r>
        <w:t xml:space="preserve"> </w:t>
      </w:r>
      <w:r>
        <w:tab/>
        <w:t>See in particular Directive 2004/38/EC on the right of citizens of the EU and their family members to move</w:t>
      </w:r>
      <w:r w:rsidR="009A1008">
        <w:t xml:space="preserve"> </w:t>
      </w:r>
      <w:r>
        <w:t>and reside freely within the territory of the Member States amending Regulation (EEC) No 1612/68 and</w:t>
      </w:r>
      <w:r w:rsidR="009A1008">
        <w:t xml:space="preserve"> </w:t>
      </w:r>
      <w:r>
        <w:t xml:space="preserve">repealing Directives 64/221/EEC, 68/360/EEC, 72/194/EEC, 73/148/EEC, 75/34/EEC, 75/35/EEC, 90/364/EEC, 90/365/EEC and 93/96/EEC, </w:t>
      </w:r>
      <w:r w:rsidRPr="00CC5E19">
        <w:rPr>
          <w:i/>
          <w:iCs/>
        </w:rPr>
        <w:t>OJ L 158, 30.4.2004, p. 77</w:t>
      </w:r>
      <w:r>
        <w:t xml:space="preserve"> (hereinafter also referred to as the </w:t>
      </w:r>
      <w:r w:rsidR="00F45CD2">
        <w:t>‘</w:t>
      </w:r>
      <w:r>
        <w:t>Free</w:t>
      </w:r>
      <w:r w:rsidR="009A1008">
        <w:t xml:space="preserve"> </w:t>
      </w:r>
      <w:r>
        <w:t>Movement Directive</w:t>
      </w:r>
      <w:r w:rsidR="00F45CD2">
        <w:t>’</w:t>
      </w:r>
      <w:r>
        <w:t>).</w:t>
      </w:r>
    </w:p>
  </w:footnote>
  <w:footnote w:id="82">
    <w:p w14:paraId="12B2D6B0" w14:textId="05ACC10A" w:rsidR="00CC7F51" w:rsidRPr="00CC7F51" w:rsidRDefault="00CC7F51" w:rsidP="00BA40FE">
      <w:pPr>
        <w:pStyle w:val="FootnoteText"/>
        <w:ind w:left="357" w:hanging="357"/>
        <w:jc w:val="both"/>
      </w:pPr>
      <w:r>
        <w:rPr>
          <w:rStyle w:val="FootnoteReference"/>
        </w:rPr>
        <w:footnoteRef/>
      </w:r>
      <w:r>
        <w:t xml:space="preserve"> </w:t>
      </w:r>
      <w:r>
        <w:tab/>
        <w:t>As of 1 January 2022</w:t>
      </w:r>
      <w:r w:rsidR="00B72BB8">
        <w:t>, source Eurostat (</w:t>
      </w:r>
      <w:hyperlink r:id="rId41" w:history="1">
        <w:r w:rsidR="00B72BB8" w:rsidRPr="00E44B08">
          <w:rPr>
            <w:rStyle w:val="Hyperlink"/>
          </w:rPr>
          <w:t>demo_pop1ctz</w:t>
        </w:r>
      </w:hyperlink>
      <w:r w:rsidR="00B72BB8">
        <w:t>).</w:t>
      </w:r>
    </w:p>
  </w:footnote>
  <w:footnote w:id="83">
    <w:p w14:paraId="07200CCA" w14:textId="62BC632A" w:rsidR="00B72BB8" w:rsidRPr="009E4E80" w:rsidRDefault="00B72BB8" w:rsidP="009E4E80">
      <w:pPr>
        <w:pStyle w:val="FootnoteText"/>
        <w:ind w:left="357" w:hanging="357"/>
        <w:rPr>
          <w:lang w:val="fr-BE"/>
        </w:rPr>
      </w:pPr>
      <w:r>
        <w:rPr>
          <w:rStyle w:val="FootnoteReference"/>
        </w:rPr>
        <w:footnoteRef/>
      </w:r>
      <w:r w:rsidRPr="009E4E80">
        <w:rPr>
          <w:lang w:val="fr-BE"/>
        </w:rPr>
        <w:t xml:space="preserve"> </w:t>
      </w:r>
      <w:r w:rsidRPr="009E4E80">
        <w:rPr>
          <w:lang w:val="fr-BE"/>
        </w:rPr>
        <w:tab/>
      </w:r>
      <w:r w:rsidRPr="00DA40CD">
        <w:rPr>
          <w:lang w:val="fr-BE"/>
        </w:rPr>
        <w:t>Source Eurostat (</w:t>
      </w:r>
      <w:hyperlink r:id="rId42" w:history="1">
        <w:r w:rsidRPr="00DA40CD">
          <w:rPr>
            <w:rStyle w:val="Hyperlink"/>
            <w:lang w:val="fr-BE"/>
          </w:rPr>
          <w:t>migr_imm5prv</w:t>
        </w:r>
      </w:hyperlink>
      <w:r w:rsidRPr="00DA40CD">
        <w:rPr>
          <w:lang w:val="fr-BE"/>
        </w:rPr>
        <w:t>)</w:t>
      </w:r>
      <w:r>
        <w:rPr>
          <w:lang w:val="fr-BE"/>
        </w:rPr>
        <w:t>.</w:t>
      </w:r>
    </w:p>
  </w:footnote>
  <w:footnote w:id="84">
    <w:p w14:paraId="7F8BAF41" w14:textId="77777777" w:rsidR="00DD25C9" w:rsidRPr="009E4E80" w:rsidRDefault="00DD25C9" w:rsidP="00BA40FE">
      <w:pPr>
        <w:pStyle w:val="FootnoteText"/>
        <w:ind w:left="357" w:hanging="357"/>
        <w:jc w:val="both"/>
        <w:rPr>
          <w:lang w:val="fr-BE"/>
        </w:rPr>
      </w:pPr>
      <w:r>
        <w:rPr>
          <w:rStyle w:val="FootnoteReference"/>
        </w:rPr>
        <w:footnoteRef/>
      </w:r>
      <w:r w:rsidRPr="009E4E80">
        <w:rPr>
          <w:lang w:val="fr-BE"/>
        </w:rPr>
        <w:t xml:space="preserve"> </w:t>
      </w:r>
      <w:r w:rsidRPr="009E4E80">
        <w:rPr>
          <w:lang w:val="fr-BE"/>
        </w:rPr>
        <w:tab/>
      </w:r>
      <w:hyperlink r:id="rId43" w:history="1">
        <w:r w:rsidRPr="009E4E80">
          <w:rPr>
            <w:rStyle w:val="Hyperlink"/>
            <w:lang w:val="fr-BE"/>
          </w:rPr>
          <w:t>https://europa.eu/youreurope/advice/</w:t>
        </w:r>
      </w:hyperlink>
      <w:r w:rsidRPr="009E4E80">
        <w:rPr>
          <w:lang w:val="fr-BE"/>
        </w:rPr>
        <w:t xml:space="preserve"> </w:t>
      </w:r>
    </w:p>
  </w:footnote>
  <w:footnote w:id="85">
    <w:p w14:paraId="429B8AC6" w14:textId="4F76458B" w:rsidR="003E4FED" w:rsidRPr="003E4FED" w:rsidRDefault="003E4FED" w:rsidP="00BA40FE">
      <w:pPr>
        <w:pStyle w:val="FootnoteText"/>
        <w:ind w:left="357" w:hanging="357"/>
        <w:jc w:val="both"/>
      </w:pPr>
      <w:r>
        <w:rPr>
          <w:rStyle w:val="FootnoteReference"/>
        </w:rPr>
        <w:footnoteRef/>
      </w:r>
      <w:r>
        <w:t xml:space="preserve"> </w:t>
      </w:r>
      <w:r w:rsidR="00127FED">
        <w:tab/>
      </w:r>
      <w:r>
        <w:t>U</w:t>
      </w:r>
      <w:r w:rsidR="004E3A0C">
        <w:t>p to</w:t>
      </w:r>
      <w:r>
        <w:t xml:space="preserve"> 7 July 2023.</w:t>
      </w:r>
    </w:p>
  </w:footnote>
  <w:footnote w:id="86">
    <w:p w14:paraId="79C01596" w14:textId="77777777" w:rsidR="007A37E1" w:rsidRDefault="007A37E1" w:rsidP="004D16FB">
      <w:pPr>
        <w:pStyle w:val="FootnoteText"/>
        <w:ind w:left="357" w:hanging="357"/>
        <w:jc w:val="both"/>
      </w:pPr>
      <w:r>
        <w:rPr>
          <w:rStyle w:val="FootnoteReference"/>
        </w:rPr>
        <w:footnoteRef/>
      </w:r>
      <w:r>
        <w:t xml:space="preserve"> </w:t>
      </w:r>
      <w:r>
        <w:tab/>
        <w:t>SOLVIT is a service provided by national administrations throughout the EU and the EEA. National SOLVIT</w:t>
      </w:r>
    </w:p>
    <w:p w14:paraId="5909213D" w14:textId="5AEC782D" w:rsidR="007A37E1" w:rsidRDefault="007A37E1" w:rsidP="004D16FB">
      <w:pPr>
        <w:pStyle w:val="FootnoteText"/>
        <w:ind w:left="357"/>
        <w:jc w:val="both"/>
      </w:pPr>
      <w:r>
        <w:t xml:space="preserve">centres take on board citizens’ complaints and cooperate via an online database to help them </w:t>
      </w:r>
      <w:r w:rsidR="004E3A0C">
        <w:t>re</w:t>
      </w:r>
      <w:r>
        <w:t>solve their</w:t>
      </w:r>
    </w:p>
    <w:p w14:paraId="4E4D03D7" w14:textId="77777777" w:rsidR="007A37E1" w:rsidRPr="00B42ADE" w:rsidRDefault="007A37E1" w:rsidP="004D16FB">
      <w:pPr>
        <w:pStyle w:val="FootnoteText"/>
        <w:ind w:left="357"/>
        <w:jc w:val="both"/>
        <w:rPr>
          <w:lang w:val="en-IE"/>
        </w:rPr>
      </w:pPr>
      <w:r>
        <w:t>problems out of court and free of charge.</w:t>
      </w:r>
    </w:p>
  </w:footnote>
  <w:footnote w:id="87">
    <w:p w14:paraId="7B993168" w14:textId="0756C615" w:rsidR="007A37E1" w:rsidRPr="00895727" w:rsidRDefault="007A37E1" w:rsidP="00BA40FE">
      <w:pPr>
        <w:pStyle w:val="FootnoteText"/>
        <w:ind w:left="357" w:hanging="357"/>
        <w:jc w:val="both"/>
      </w:pPr>
      <w:r>
        <w:rPr>
          <w:rStyle w:val="FootnoteReference"/>
        </w:rPr>
        <w:footnoteRef/>
      </w:r>
      <w:r>
        <w:t xml:space="preserve"> </w:t>
      </w:r>
      <w:r w:rsidR="00127FED">
        <w:tab/>
      </w:r>
      <w:r>
        <w:t>U</w:t>
      </w:r>
      <w:r w:rsidR="004E3A0C">
        <w:t>p to</w:t>
      </w:r>
      <w:r>
        <w:t xml:space="preserve"> 30 June 2023, and based on cases closed (</w:t>
      </w:r>
      <w:r w:rsidR="004E3A0C">
        <w:t>re</w:t>
      </w:r>
      <w:r>
        <w:t>solved and unresolved cases).</w:t>
      </w:r>
    </w:p>
  </w:footnote>
  <w:footnote w:id="88">
    <w:p w14:paraId="37270A22" w14:textId="3395C534" w:rsidR="00F05F68" w:rsidRPr="00F05F68" w:rsidRDefault="00F05F68" w:rsidP="00BA40FE">
      <w:pPr>
        <w:pStyle w:val="FootnoteText"/>
        <w:ind w:left="357" w:hanging="357"/>
        <w:jc w:val="both"/>
        <w:rPr>
          <w:lang w:val="en-IE"/>
        </w:rPr>
      </w:pPr>
      <w:r>
        <w:rPr>
          <w:rStyle w:val="FootnoteReference"/>
        </w:rPr>
        <w:footnoteRef/>
      </w:r>
      <w:r>
        <w:t xml:space="preserve"> </w:t>
      </w:r>
      <w:r>
        <w:tab/>
      </w:r>
      <w:r w:rsidRPr="00F05F68">
        <w:rPr>
          <w:lang w:val="en-IE"/>
        </w:rPr>
        <w:t>U</w:t>
      </w:r>
      <w:r w:rsidR="004E3A0C">
        <w:rPr>
          <w:lang w:val="en-IE"/>
        </w:rPr>
        <w:t>p to</w:t>
      </w:r>
      <w:r w:rsidRPr="00F05F68">
        <w:rPr>
          <w:lang w:val="en-IE"/>
        </w:rPr>
        <w:t xml:space="preserve"> 1 J</w:t>
      </w:r>
      <w:r>
        <w:rPr>
          <w:lang w:val="en-IE"/>
        </w:rPr>
        <w:t xml:space="preserve">uly 2023. 13925 enquiries concerned </w:t>
      </w:r>
      <w:r w:rsidR="004E3A0C">
        <w:rPr>
          <w:lang w:val="en-IE"/>
        </w:rPr>
        <w:t>‘</w:t>
      </w:r>
      <w:r>
        <w:rPr>
          <w:lang w:val="en-IE"/>
        </w:rPr>
        <w:t>free movement of EU nationals (residence, travel)</w:t>
      </w:r>
      <w:r w:rsidR="004E3A0C">
        <w:rPr>
          <w:lang w:val="en-IE"/>
        </w:rPr>
        <w:t>’</w:t>
      </w:r>
      <w:r>
        <w:rPr>
          <w:lang w:val="en-IE"/>
        </w:rPr>
        <w:t xml:space="preserve">, and 3041 enquiries concerned </w:t>
      </w:r>
      <w:r w:rsidR="004E3A0C">
        <w:rPr>
          <w:lang w:val="en-IE"/>
        </w:rPr>
        <w:t>‘</w:t>
      </w:r>
      <w:r>
        <w:rPr>
          <w:lang w:val="en-IE"/>
        </w:rPr>
        <w:t>family members of EU nationals (residence, travel)</w:t>
      </w:r>
      <w:r w:rsidR="004E3A0C">
        <w:rPr>
          <w:lang w:val="en-IE"/>
        </w:rPr>
        <w:t>’</w:t>
      </w:r>
      <w:r>
        <w:rPr>
          <w:lang w:val="en-IE"/>
        </w:rPr>
        <w:t>.</w:t>
      </w:r>
    </w:p>
  </w:footnote>
  <w:footnote w:id="89">
    <w:p w14:paraId="235BCAE4" w14:textId="7C8E9323" w:rsidR="004C374D" w:rsidRPr="00FF0E1E" w:rsidRDefault="004C374D" w:rsidP="00FF0E1E">
      <w:pPr>
        <w:pStyle w:val="FootnoteText"/>
        <w:ind w:left="357" w:hanging="357"/>
        <w:jc w:val="both"/>
        <w:rPr>
          <w:lang w:val="en-IE"/>
        </w:rPr>
      </w:pPr>
      <w:r>
        <w:rPr>
          <w:rStyle w:val="FootnoteReference"/>
        </w:rPr>
        <w:footnoteRef/>
      </w:r>
      <w:r>
        <w:t xml:space="preserve"> </w:t>
      </w:r>
      <w:r>
        <w:tab/>
      </w:r>
      <w:r w:rsidR="00F87160">
        <w:t>Communication from the Commission to the European Parliament and the Council on guidance for better transposition and application of Directive 2004/38/EC on the right of citizens of the Union and their family members to move and reside freely within the territory of the Member States, COM(2009) 313 final</w:t>
      </w:r>
      <w:r w:rsidR="00FF0E1E">
        <w:t>.</w:t>
      </w:r>
    </w:p>
  </w:footnote>
  <w:footnote w:id="90">
    <w:p w14:paraId="31038B43" w14:textId="464B8227" w:rsidR="008A6CDC" w:rsidRPr="008A6CDC" w:rsidRDefault="008A6CDC" w:rsidP="008A6CDC">
      <w:pPr>
        <w:pStyle w:val="FootnoteText"/>
        <w:ind w:left="357" w:hanging="357"/>
        <w:jc w:val="both"/>
      </w:pPr>
      <w:r>
        <w:rPr>
          <w:rStyle w:val="FootnoteReference"/>
        </w:rPr>
        <w:footnoteRef/>
      </w:r>
      <w:r>
        <w:t xml:space="preserve"> </w:t>
      </w:r>
      <w:r>
        <w:tab/>
      </w:r>
      <w:r w:rsidRPr="008A6CDC">
        <w:t>Persons who temporarily stay in a Member State other than the one where they are insured are entitled to any necessary medical treatment on the basis of the European Health Insurance Card. Besides Regulation (EC) No 883/2004 on the coordination of social security systems</w:t>
      </w:r>
      <w:r>
        <w:t>,</w:t>
      </w:r>
      <w:r w:rsidRPr="008A6CDC">
        <w:t xml:space="preserve"> persons may also access healthcare in any EU country other than the one in which they reside and to be reimbursed for care abroad under Directive 2011/24/EU on patients’ rights in cross-border healthcare.</w:t>
      </w:r>
    </w:p>
  </w:footnote>
  <w:footnote w:id="91">
    <w:p w14:paraId="3C25A84C" w14:textId="0D9C348B" w:rsidR="009F0D1B" w:rsidRPr="009F0D1B" w:rsidRDefault="009F0D1B" w:rsidP="00A71DC0">
      <w:pPr>
        <w:pStyle w:val="FootnoteText"/>
        <w:ind w:left="357" w:hanging="357"/>
        <w:jc w:val="both"/>
      </w:pPr>
      <w:r>
        <w:rPr>
          <w:rStyle w:val="FootnoteReference"/>
        </w:rPr>
        <w:footnoteRef/>
      </w:r>
      <w:r>
        <w:t xml:space="preserve"> </w:t>
      </w:r>
      <w:r>
        <w:tab/>
        <w:t xml:space="preserve">Communication from the Commission to the European Parliament, the Council, the European Economic and Social Committee and the Committee Of The Regions, </w:t>
      </w:r>
      <w:r w:rsidR="00875766">
        <w:t>‘</w:t>
      </w:r>
      <w:r>
        <w:t>Union of Equality: LGBTIQ Equality Strategy 2020-2025</w:t>
      </w:r>
      <w:r w:rsidR="00875766">
        <w:t>’</w:t>
      </w:r>
      <w:r>
        <w:t>, COM(2020)698 final.</w:t>
      </w:r>
    </w:p>
  </w:footnote>
  <w:footnote w:id="92">
    <w:p w14:paraId="704CB973" w14:textId="7C63AF21" w:rsidR="00AD6190" w:rsidRPr="00AD6190" w:rsidRDefault="00AD6190" w:rsidP="00BA40FE">
      <w:pPr>
        <w:pStyle w:val="FootnoteText"/>
        <w:ind w:left="357" w:hanging="357"/>
        <w:jc w:val="both"/>
      </w:pPr>
      <w:r>
        <w:rPr>
          <w:rStyle w:val="FootnoteReference"/>
        </w:rPr>
        <w:footnoteRef/>
      </w:r>
      <w:r>
        <w:t xml:space="preserve"> </w:t>
      </w:r>
      <w:r>
        <w:tab/>
        <w:t xml:space="preserve">Pre–settled status should correspond to </w:t>
      </w:r>
      <w:r w:rsidR="0013576E">
        <w:t xml:space="preserve">the </w:t>
      </w:r>
      <w:r>
        <w:t xml:space="preserve">right of non–permanent residence under the EU Free Movement Directive and settled status to </w:t>
      </w:r>
      <w:r w:rsidR="0013576E">
        <w:t xml:space="preserve">the </w:t>
      </w:r>
      <w:r>
        <w:t>right of permanent residence.</w:t>
      </w:r>
    </w:p>
  </w:footnote>
  <w:footnote w:id="93">
    <w:p w14:paraId="2D1603C1" w14:textId="1048FA00" w:rsidR="003F7AA0" w:rsidRPr="003F7AA0" w:rsidRDefault="003F7AA0" w:rsidP="00BA40FE">
      <w:pPr>
        <w:pStyle w:val="FootnoteText"/>
        <w:ind w:left="357" w:hanging="357"/>
        <w:jc w:val="both"/>
        <w:rPr>
          <w:lang w:val="en-IE"/>
        </w:rPr>
      </w:pPr>
      <w:r>
        <w:rPr>
          <w:rStyle w:val="FootnoteReference"/>
        </w:rPr>
        <w:footnoteRef/>
      </w:r>
      <w:r>
        <w:t xml:space="preserve"> </w:t>
      </w:r>
      <w:r>
        <w:tab/>
      </w:r>
      <w:r w:rsidRPr="003F7AA0">
        <w:t xml:space="preserve">Proposal for a Regulation </w:t>
      </w:r>
      <w:r>
        <w:t>o</w:t>
      </w:r>
      <w:r w:rsidRPr="003F7AA0">
        <w:t xml:space="preserve">f </w:t>
      </w:r>
      <w:r>
        <w:t>t</w:t>
      </w:r>
      <w:r w:rsidRPr="003F7AA0">
        <w:t xml:space="preserve">he European Parliament </w:t>
      </w:r>
      <w:r>
        <w:t>a</w:t>
      </w:r>
      <w:r w:rsidRPr="003F7AA0">
        <w:t xml:space="preserve">nd </w:t>
      </w:r>
      <w:r>
        <w:t>o</w:t>
      </w:r>
      <w:r w:rsidRPr="003F7AA0">
        <w:t xml:space="preserve">f </w:t>
      </w:r>
      <w:r>
        <w:t>t</w:t>
      </w:r>
      <w:r w:rsidRPr="003F7AA0">
        <w:t>he Council amending Regulations (EC) No 767/2008, (EC) No 810/2009 and (EU) 2017/2226 of the European Parliament and of the Council, Council Regulations (EC) No 1683/95, (EC) No 333/2002, (EC) No 693/2003 and (EC) No 694/2003 and Convention implementing the Schengen Agreement, as regards the digitalisation of the visa procedure</w:t>
      </w:r>
      <w:r>
        <w:t>, COM(2022)658 final.</w:t>
      </w:r>
    </w:p>
  </w:footnote>
  <w:footnote w:id="94">
    <w:p w14:paraId="7B08CC71" w14:textId="3F8CB475" w:rsidR="004E073E" w:rsidRPr="004E073E" w:rsidRDefault="004E073E" w:rsidP="00BA40FE">
      <w:pPr>
        <w:pStyle w:val="FootnoteText"/>
        <w:ind w:left="357" w:hanging="357"/>
        <w:jc w:val="both"/>
      </w:pPr>
      <w:r>
        <w:rPr>
          <w:rStyle w:val="FootnoteReference"/>
        </w:rPr>
        <w:footnoteRef/>
      </w:r>
      <w:r>
        <w:t xml:space="preserve"> </w:t>
      </w:r>
      <w:r>
        <w:tab/>
        <w:t xml:space="preserve">Communication from the Commission to the European Parliament, the Council, the European Economic and Social Committee and the Committee of the Regions </w:t>
      </w:r>
      <w:r w:rsidR="00EA6766">
        <w:t>‘</w:t>
      </w:r>
      <w:r>
        <w:t>On digitalisation in social security coordination: facilitating free movement in the Single Market</w:t>
      </w:r>
      <w:r w:rsidR="00EA6766">
        <w:t>’</w:t>
      </w:r>
      <w:r>
        <w:t>, COM(2023)501 final.</w:t>
      </w:r>
    </w:p>
  </w:footnote>
  <w:footnote w:id="95">
    <w:p w14:paraId="6EB97697" w14:textId="6663889C" w:rsidR="00A252E1" w:rsidRPr="00A252E1" w:rsidRDefault="00A252E1" w:rsidP="00FC4D4F">
      <w:pPr>
        <w:pStyle w:val="FootnoteText"/>
        <w:ind w:left="357" w:hanging="357"/>
        <w:jc w:val="both"/>
      </w:pPr>
      <w:r>
        <w:rPr>
          <w:rStyle w:val="FootnoteReference"/>
        </w:rPr>
        <w:footnoteRef/>
      </w:r>
      <w:r>
        <w:t xml:space="preserve"> </w:t>
      </w:r>
      <w:r>
        <w:tab/>
        <w:t xml:space="preserve">As indicated in the last progress Report under Article 25 TFEU, in June 2019 the European Parliament and the Council adopted a Regulation on strengthening the security of EU citizens’ identity cards and of residence documents issued to EU citizens and their family members exercising their right of free movement (Regulation (EU) 2019/1157 of the European Parliament and of the Council of 20 June 2019 on strengthening the security of identity cards of Union citizens and of residence documents issued to Union citizens and their family members exercising their right of free movement, </w:t>
      </w:r>
      <w:r w:rsidRPr="001819A8">
        <w:rPr>
          <w:i/>
          <w:iCs/>
        </w:rPr>
        <w:t>OJ L 188, 12.7.2019, p. 67–78</w:t>
      </w:r>
      <w:r>
        <w:rPr>
          <w:i/>
          <w:iCs/>
        </w:rPr>
        <w:t xml:space="preserve">). </w:t>
      </w:r>
      <w:r>
        <w:t xml:space="preserve">The Regulation introduced minimum common security standards making identity cards and residence documents more secure and reliable. </w:t>
      </w:r>
    </w:p>
  </w:footnote>
  <w:footnote w:id="96">
    <w:p w14:paraId="25DDEDB1" w14:textId="75A1939C" w:rsidR="00D45EF8" w:rsidRPr="00D45EF8" w:rsidRDefault="00D45EF8" w:rsidP="00473996">
      <w:pPr>
        <w:pStyle w:val="FootnoteText"/>
        <w:ind w:left="357" w:hanging="357"/>
        <w:jc w:val="both"/>
      </w:pPr>
      <w:r>
        <w:rPr>
          <w:rStyle w:val="FootnoteReference"/>
        </w:rPr>
        <w:footnoteRef/>
      </w:r>
      <w:r>
        <w:t xml:space="preserve"> </w:t>
      </w:r>
      <w:r>
        <w:tab/>
      </w:r>
      <w:r w:rsidR="00E31958">
        <w:t xml:space="preserve">Report </w:t>
      </w:r>
      <w:r w:rsidR="00473996">
        <w:t>f</w:t>
      </w:r>
      <w:r w:rsidR="00E31958">
        <w:t xml:space="preserve">rom </w:t>
      </w:r>
      <w:r w:rsidR="00473996">
        <w:t>t</w:t>
      </w:r>
      <w:r w:rsidR="00E31958">
        <w:t xml:space="preserve">he Commission </w:t>
      </w:r>
      <w:r w:rsidR="00473996">
        <w:t>to the</w:t>
      </w:r>
      <w:r w:rsidR="00E31958">
        <w:t xml:space="preserve"> European Parliament, </w:t>
      </w:r>
      <w:r w:rsidR="00473996">
        <w:t>t</w:t>
      </w:r>
      <w:r w:rsidR="00E31958">
        <w:t xml:space="preserve">he Council </w:t>
      </w:r>
      <w:r w:rsidR="00473996">
        <w:t>and the</w:t>
      </w:r>
      <w:r w:rsidR="00E31958">
        <w:t xml:space="preserve"> European Economic </w:t>
      </w:r>
      <w:r w:rsidR="00473996">
        <w:t>a</w:t>
      </w:r>
      <w:r w:rsidR="00E31958">
        <w:t>nd Social Committee</w:t>
      </w:r>
      <w:r w:rsidR="00473996">
        <w:t xml:space="preserve"> </w:t>
      </w:r>
      <w:r w:rsidR="00E31958">
        <w:t>pursuant to Article 13(1) of Regulation (EU) 2019/1157 of the European Parliament and of the Council of 20 June 2019 on strengthening the security of identity cards of Union citizens and of residence documents issued to Union citizens and their family members exercising their right of free movement</w:t>
      </w:r>
      <w:r w:rsidR="00473996">
        <w:t>, COM(2023)538 final.</w:t>
      </w:r>
    </w:p>
  </w:footnote>
  <w:footnote w:id="97">
    <w:p w14:paraId="5E6406C1" w14:textId="1EE65F6B" w:rsidR="002546CC" w:rsidRPr="00FF0E1E" w:rsidRDefault="002546CC" w:rsidP="00685414">
      <w:pPr>
        <w:pStyle w:val="FootnoteText"/>
        <w:ind w:left="357" w:hanging="357"/>
        <w:jc w:val="both"/>
        <w:rPr>
          <w:lang w:val="en-IE"/>
        </w:rPr>
      </w:pPr>
      <w:r>
        <w:rPr>
          <w:rStyle w:val="FootnoteReference"/>
        </w:rPr>
        <w:footnoteRef/>
      </w:r>
      <w:r>
        <w:t xml:space="preserve"> </w:t>
      </w:r>
      <w:r>
        <w:tab/>
        <w:t>Communication from the Commission of the European Parliament and the Council ‘A strategy towards a fully functioning and resilient Schengen area’, COM(2021)277 final, p. 8. The Schengen area includes the majority of States in which rights of free movement can be exercised.</w:t>
      </w:r>
    </w:p>
  </w:footnote>
  <w:footnote w:id="98">
    <w:p w14:paraId="68CA314F" w14:textId="77777777" w:rsidR="000C7F87" w:rsidRPr="006D240C" w:rsidRDefault="000C7F87" w:rsidP="00EC184C">
      <w:pPr>
        <w:pStyle w:val="FootnoteText"/>
        <w:ind w:left="346" w:hanging="357"/>
        <w:jc w:val="both"/>
        <w:rPr>
          <w:lang w:val="en-IE"/>
        </w:rPr>
      </w:pPr>
      <w:r>
        <w:rPr>
          <w:rStyle w:val="FootnoteReference"/>
        </w:rPr>
        <w:footnoteRef/>
      </w:r>
      <w:r>
        <w:t xml:space="preserve"> </w:t>
      </w:r>
      <w:r w:rsidRPr="006D240C">
        <w:rPr>
          <w:lang w:val="en-IE"/>
        </w:rPr>
        <w:tab/>
      </w:r>
      <w:r w:rsidRPr="00E93CF8">
        <w:rPr>
          <w:lang w:val="en-IE"/>
        </w:rPr>
        <w:t>Proposal for a R</w:t>
      </w:r>
      <w:r>
        <w:rPr>
          <w:lang w:val="en-IE"/>
        </w:rPr>
        <w:t xml:space="preserve">egulation of the European Parliament and of the Council </w:t>
      </w:r>
      <w:r w:rsidRPr="00E93CF8">
        <w:rPr>
          <w:lang w:val="en-IE"/>
        </w:rPr>
        <w:t>amending Regulation (EU) No 910/2014 as regards establishing a framework for a European Digital Identity</w:t>
      </w:r>
      <w:r>
        <w:rPr>
          <w:lang w:val="en-IE"/>
        </w:rPr>
        <w:t xml:space="preserve">, </w:t>
      </w:r>
      <w:r w:rsidRPr="00E93CF8">
        <w:rPr>
          <w:lang w:val="en-IE"/>
        </w:rPr>
        <w:t>COM (2021) 281</w:t>
      </w:r>
      <w:r>
        <w:rPr>
          <w:lang w:val="en-IE"/>
        </w:rPr>
        <w:t xml:space="preserve"> final.</w:t>
      </w:r>
    </w:p>
  </w:footnote>
  <w:footnote w:id="99">
    <w:p w14:paraId="77ACC552" w14:textId="027559D1" w:rsidR="00E575BE" w:rsidRPr="00127FED" w:rsidRDefault="00E575BE" w:rsidP="00E575BE">
      <w:pPr>
        <w:pStyle w:val="FootnoteText"/>
        <w:ind w:left="357" w:hanging="357"/>
        <w:jc w:val="both"/>
        <w:rPr>
          <w:rFonts w:cs="Times New Roman"/>
        </w:rPr>
      </w:pPr>
      <w:r>
        <w:rPr>
          <w:rStyle w:val="FootnoteReference"/>
        </w:rPr>
        <w:footnoteRef/>
      </w:r>
      <w:r>
        <w:t xml:space="preserve"> </w:t>
      </w:r>
      <w:r>
        <w:tab/>
      </w:r>
      <w:r w:rsidRPr="001958B8">
        <w:rPr>
          <w:rFonts w:cs="Times New Roman"/>
        </w:rPr>
        <w:t>Council Recommendation (EU) 2021/119 of 1 February 2021 amending Recommendation (EU) 2020/1475 on a coordinated approach to the restriction of free movement in response to the COVID-19 pandemic</w:t>
      </w:r>
      <w:r w:rsidR="00CC5E19">
        <w:rPr>
          <w:rFonts w:cs="Times New Roman"/>
        </w:rPr>
        <w:t xml:space="preserve">, </w:t>
      </w:r>
      <w:r w:rsidRPr="00CC5E19">
        <w:rPr>
          <w:rFonts w:cs="Times New Roman"/>
          <w:i/>
          <w:iCs/>
        </w:rPr>
        <w:t>OJ L 36I, 2.2.2021, p. 1</w:t>
      </w:r>
      <w:r>
        <w:rPr>
          <w:rFonts w:cs="Times New Roman"/>
        </w:rPr>
        <w:t xml:space="preserve">; and </w:t>
      </w:r>
      <w:r w:rsidRPr="00871C7D">
        <w:rPr>
          <w:rFonts w:cs="Times New Roman"/>
        </w:rPr>
        <w:t>Council Recommendation (EU) 2021/961 of 14 June 2021 amending Recommendation (EU) 2020/1475 on a coordinated approach to the restriction of free movement in response to the COVID-19 pandemic</w:t>
      </w:r>
      <w:r w:rsidR="00CC5E19">
        <w:rPr>
          <w:rFonts w:cs="Times New Roman"/>
        </w:rPr>
        <w:t xml:space="preserve">, </w:t>
      </w:r>
      <w:r w:rsidRPr="00CC5E19">
        <w:rPr>
          <w:rFonts w:cs="Times New Roman"/>
          <w:i/>
          <w:iCs/>
        </w:rPr>
        <w:t>OJ L 213I , 16.6.2021, p. 1</w:t>
      </w:r>
      <w:r>
        <w:rPr>
          <w:rFonts w:cs="Times New Roman"/>
        </w:rPr>
        <w:t xml:space="preserve">; </w:t>
      </w:r>
      <w:r w:rsidRPr="001958B8">
        <w:rPr>
          <w:rFonts w:cs="Times New Roman"/>
        </w:rPr>
        <w:t>Council Recommendation (EU) 2022/107 of 25 January 2022 on a coordinated approach to facilitate safe free movement during the COVID-19 pandemic and replacing Recommendation (EU) 2020/1475</w:t>
      </w:r>
      <w:r w:rsidR="00CC5E19">
        <w:rPr>
          <w:rFonts w:cs="Times New Roman"/>
        </w:rPr>
        <w:t xml:space="preserve">, </w:t>
      </w:r>
      <w:r w:rsidRPr="00CC5E19">
        <w:rPr>
          <w:rFonts w:cs="Times New Roman"/>
          <w:i/>
          <w:iCs/>
        </w:rPr>
        <w:t>OJ L 18, 27.1.2022, p. 110</w:t>
      </w:r>
      <w:r>
        <w:rPr>
          <w:rFonts w:cs="Times New Roman"/>
        </w:rPr>
        <w:t>.</w:t>
      </w:r>
    </w:p>
  </w:footnote>
  <w:footnote w:id="100">
    <w:p w14:paraId="3A1AE45C" w14:textId="4D0C4019" w:rsidR="00E575BE" w:rsidRPr="001958B8" w:rsidRDefault="00E575BE" w:rsidP="00E575BE">
      <w:pPr>
        <w:pStyle w:val="FootnoteText"/>
        <w:ind w:left="357" w:hanging="357"/>
        <w:jc w:val="both"/>
      </w:pPr>
      <w:r w:rsidRPr="001958B8">
        <w:rPr>
          <w:rStyle w:val="FootnoteReference"/>
        </w:rPr>
        <w:footnoteRef/>
      </w:r>
      <w:r w:rsidRPr="001958B8">
        <w:t xml:space="preserve"> </w:t>
      </w:r>
      <w:r>
        <w:tab/>
      </w:r>
      <w:r w:rsidRPr="001958B8">
        <w:t>Regulation (EU) 2021/953 of the European Parliament and of the Council of 14 June 2021 on a framework for the issuance, verification and acceptance of interoperable COVID-19 vaccination, test and recovery certificates (EU Digital COVID Certificate) to facilitate free movement during the COVID-19 pandemic</w:t>
      </w:r>
      <w:r w:rsidR="0034128D">
        <w:t xml:space="preserve">, </w:t>
      </w:r>
      <w:r w:rsidR="0034128D" w:rsidRPr="0034128D">
        <w:rPr>
          <w:i/>
          <w:iCs/>
        </w:rPr>
        <w:t>OJ L 211, 15.6.2021, p. 1</w:t>
      </w:r>
      <w:r w:rsidR="00AD3FCC">
        <w:rPr>
          <w:i/>
          <w:iCs/>
        </w:rPr>
        <w:t>.</w:t>
      </w:r>
    </w:p>
  </w:footnote>
  <w:footnote w:id="101">
    <w:p w14:paraId="25269487" w14:textId="099777D6" w:rsidR="0034128D" w:rsidRPr="0034128D" w:rsidRDefault="0034128D" w:rsidP="0034128D">
      <w:pPr>
        <w:pStyle w:val="FootnoteText"/>
        <w:ind w:left="357" w:hanging="357"/>
        <w:jc w:val="both"/>
      </w:pPr>
      <w:r>
        <w:rPr>
          <w:rStyle w:val="FootnoteReference"/>
        </w:rPr>
        <w:footnoteRef/>
      </w:r>
      <w:r>
        <w:t xml:space="preserve"> </w:t>
      </w:r>
      <w:r>
        <w:tab/>
      </w:r>
      <w:r w:rsidRPr="00920480">
        <w:t>Regulation (EU) 2022/1034 of the European Parliament and of the Council of 29 June 2022 amending Regulation (EU) 2021/953 on a framework for the issuance, verification and acceptance of interoperable COVID-19 vaccination, test and recovery certificates (EU Digital COVID Certificate) to facilitate free movement during the COVID-19 pandemic</w:t>
      </w:r>
      <w:r>
        <w:t xml:space="preserve">, </w:t>
      </w:r>
      <w:r w:rsidRPr="0034128D">
        <w:rPr>
          <w:i/>
          <w:iCs/>
        </w:rPr>
        <w:t>OJ L 173, 30.6.2022, p.37</w:t>
      </w:r>
      <w:r>
        <w:t>.</w:t>
      </w:r>
    </w:p>
  </w:footnote>
  <w:footnote w:id="102">
    <w:p w14:paraId="0066845D" w14:textId="13F3B1AA" w:rsidR="00132DCF" w:rsidRPr="00132DCF" w:rsidRDefault="00132DCF" w:rsidP="00FE2707">
      <w:pPr>
        <w:pStyle w:val="FootnoteText"/>
        <w:ind w:left="357" w:hanging="357"/>
        <w:jc w:val="both"/>
      </w:pPr>
      <w:r>
        <w:rPr>
          <w:rStyle w:val="FootnoteReference"/>
        </w:rPr>
        <w:footnoteRef/>
      </w:r>
      <w:r>
        <w:t xml:space="preserve"> </w:t>
      </w:r>
      <w:r>
        <w:tab/>
      </w:r>
      <w:hyperlink r:id="rId44" w:history="1">
        <w:r w:rsidRPr="00BD00A9">
          <w:rPr>
            <w:rStyle w:val="Hyperlink"/>
          </w:rPr>
          <w:t>https://www.ombudsman.europa.eu/en/press-release/en/171613</w:t>
        </w:r>
      </w:hyperlink>
      <w:r w:rsidR="00FE2707" w:rsidRPr="00BD00A9">
        <w:t xml:space="preserve">. An important acknowledgement of the potential of the EU Digital COVID Certificate technical infrastructure, which is in line with EU values such as data protection, open source software and accessibility, has also come from the Global Digital Health Certification Network, launched by the World Health Organization, which is based on the EU Digital COVID Certificate technology and supported by the Commission at technical level as part of a landmark digital health partnership. See </w:t>
      </w:r>
      <w:hyperlink r:id="rId45" w:history="1">
        <w:r w:rsidR="00FE2707" w:rsidRPr="00BD00A9">
          <w:rPr>
            <w:rStyle w:val="Hyperlink"/>
          </w:rPr>
          <w:t>https://ec.europa.eu/commission/presscorner/detail/en/IP_23_3043</w:t>
        </w:r>
      </w:hyperlink>
      <w:r w:rsidR="00FE2707">
        <w:t xml:space="preserve"> </w:t>
      </w:r>
    </w:p>
  </w:footnote>
  <w:footnote w:id="103">
    <w:p w14:paraId="270AABCB" w14:textId="49681625" w:rsidR="00F30D57" w:rsidRPr="00F30D57" w:rsidRDefault="00F30D57" w:rsidP="00F30D57">
      <w:pPr>
        <w:pStyle w:val="FootnoteText"/>
        <w:ind w:left="357" w:hanging="357"/>
        <w:jc w:val="both"/>
        <w:rPr>
          <w:lang w:val="en-US"/>
        </w:rPr>
      </w:pPr>
      <w:r>
        <w:rPr>
          <w:rStyle w:val="FootnoteReference"/>
        </w:rPr>
        <w:footnoteRef/>
      </w:r>
      <w:r>
        <w:t xml:space="preserve"> </w:t>
      </w:r>
      <w:r>
        <w:tab/>
      </w:r>
      <w:r w:rsidRPr="00F30D57">
        <w:t xml:space="preserve">More information on the efforts </w:t>
      </w:r>
      <w:r w:rsidR="00AD3FCC">
        <w:t>made</w:t>
      </w:r>
      <w:r w:rsidRPr="00F30D57">
        <w:t xml:space="preserve"> by the Commission to facilitate free movement during the COVID-19 pandemic can be found in the </w:t>
      </w:r>
      <w:r w:rsidR="00AD3FCC">
        <w:t>various</w:t>
      </w:r>
      <w:r w:rsidRPr="00F30D57">
        <w:t xml:space="preserve"> Commission Reports on the implementation of the EU Digital COVID Certificate Regulation in 2021 and 2022</w:t>
      </w:r>
      <w:r>
        <w:t xml:space="preserve">: </w:t>
      </w:r>
      <w:r w:rsidRPr="00254610">
        <w:t>Report from the Commission to the European Parliament and the Council pursuant to Article 16(1) of Regulation (EU) 2021/953 of the European Parliament and of the Council on a framework for the issuance, verification and acceptance of interoperable COVID-19 vaccination, test and recovery certificates (EU Digital COVID Certificate) to facilitate free movement during the COVID-19 pandemic</w:t>
      </w:r>
      <w:r>
        <w:t xml:space="preserve">, </w:t>
      </w:r>
      <w:r w:rsidRPr="00254610">
        <w:t>COM</w:t>
      </w:r>
      <w:r>
        <w:t>(</w:t>
      </w:r>
      <w:r w:rsidRPr="00254610">
        <w:t>2021</w:t>
      </w:r>
      <w:r>
        <w:t xml:space="preserve">) </w:t>
      </w:r>
      <w:r w:rsidRPr="00254610">
        <w:t>649 final</w:t>
      </w:r>
      <w:r>
        <w:t xml:space="preserve">; </w:t>
      </w:r>
      <w:r w:rsidRPr="000B1FB8">
        <w:t>Report from the Commission to the European Parliament and the Council pursuant to Article 16(2) of Regulation (EU) 2021/953 of the European Parliament and of the Council on a framework for the issuance, verification and acceptance of interoperable COVID-19 vaccination, test and recovery certificates (EU Digital COVID Certificate) to facilitate free movement during the COVID-19 pandemic</w:t>
      </w:r>
      <w:r>
        <w:t xml:space="preserve">, </w:t>
      </w:r>
      <w:r w:rsidRPr="000B1FB8">
        <w:t>COM(2022) 123 final</w:t>
      </w:r>
      <w:r>
        <w:t xml:space="preserve">; </w:t>
      </w:r>
      <w:r w:rsidRPr="000B1FB8">
        <w:t>Report from the Commission to the European Parliament and the Council pursuant to Article 16(</w:t>
      </w:r>
      <w:r>
        <w:t>3</w:t>
      </w:r>
      <w:r w:rsidRPr="000B1FB8">
        <w:t>) of Regulation (EU) 2021/953 of the European Parliament and of the Council on a framework for the issuance, verification and acceptance of interoperable COVID-19 vaccination, test and recovery certificates (EU Digital COVID Certificate) to facilitate free movement during the COVID-19 pandemic</w:t>
      </w:r>
      <w:r>
        <w:t xml:space="preserve">, </w:t>
      </w:r>
      <w:r w:rsidRPr="000B1FB8">
        <w:t>COM(2022)</w:t>
      </w:r>
      <w:r>
        <w:t>753</w:t>
      </w:r>
      <w:r w:rsidRPr="000B1FB8">
        <w:t xml:space="preserve"> final</w:t>
      </w:r>
      <w:r>
        <w:t>.</w:t>
      </w:r>
    </w:p>
  </w:footnote>
  <w:footnote w:id="104">
    <w:p w14:paraId="7A7BB8A2" w14:textId="77777777" w:rsidR="00E575BE" w:rsidRPr="00CB23E8" w:rsidRDefault="00E575BE" w:rsidP="00E575BE">
      <w:pPr>
        <w:pStyle w:val="FootnoteText"/>
        <w:ind w:left="357" w:hanging="357"/>
      </w:pPr>
      <w:r>
        <w:rPr>
          <w:rStyle w:val="FootnoteReference"/>
        </w:rPr>
        <w:footnoteRef/>
      </w:r>
      <w:r w:rsidRPr="00CB23E8">
        <w:t xml:space="preserve"> </w:t>
      </w:r>
      <w:r>
        <w:tab/>
      </w:r>
      <w:hyperlink r:id="rId46" w:history="1">
        <w:r w:rsidRPr="00CB23E8">
          <w:rPr>
            <w:rStyle w:val="Hyperlink"/>
          </w:rPr>
          <w:t>https://www.who.int/news/item/05-05-2023-statement-on-the-fifteenth-meeting-of-the-international-health-regulations-(2005)-emergency-committee-regarding-the-coronavirus-disease-(covid-19)-pandemic</w:t>
        </w:r>
      </w:hyperlink>
      <w:r w:rsidRPr="00CB23E8">
        <w:t xml:space="preserve"> </w:t>
      </w:r>
    </w:p>
  </w:footnote>
  <w:footnote w:id="105">
    <w:p w14:paraId="6089F279" w14:textId="51E40830" w:rsidR="008F7755" w:rsidRPr="008F7755" w:rsidRDefault="008F7755" w:rsidP="008F7755">
      <w:pPr>
        <w:pStyle w:val="FootnoteText"/>
        <w:ind w:left="357" w:hanging="357"/>
        <w:jc w:val="both"/>
        <w:rPr>
          <w:i/>
          <w:iCs/>
        </w:rPr>
      </w:pPr>
      <w:r>
        <w:rPr>
          <w:rStyle w:val="FootnoteReference"/>
        </w:rPr>
        <w:footnoteRef/>
      </w:r>
      <w:r>
        <w:t xml:space="preserve"> </w:t>
      </w:r>
      <w:r>
        <w:tab/>
      </w:r>
      <w:r w:rsidRPr="008F7755">
        <w:t>Directive 2004/38/EC of the European Parliament and of the Council of 29 April 2004 on the right of citizens of the Union and their family members to move and reside freely within the territory of the Member States amending Regulation (EEC) No 1612/68 and repealing Directives 64/221/EEC, 68/360/EEC, 72/194/EEC, 73/148/EEC, 75/34/EEC, 75/35/EEC, 90/364/EEC, 90/365/EEC and 93/96/EEC (Text with EEA relevance)</w:t>
      </w:r>
      <w:r>
        <w:t xml:space="preserve">, </w:t>
      </w:r>
      <w:r w:rsidRPr="008F7755">
        <w:rPr>
          <w:i/>
          <w:iCs/>
        </w:rPr>
        <w:t>OJ L 158, 30.4.2004, p. 77–123</w:t>
      </w:r>
      <w:r>
        <w:rPr>
          <w:i/>
          <w:iCs/>
        </w:rPr>
        <w:t>.</w:t>
      </w:r>
    </w:p>
  </w:footnote>
  <w:footnote w:id="106">
    <w:p w14:paraId="48A5CCA0" w14:textId="3926635B" w:rsidR="008F7755" w:rsidRDefault="008F7755" w:rsidP="00A71DC0">
      <w:pPr>
        <w:pStyle w:val="FootnoteText"/>
        <w:ind w:left="357" w:hanging="357"/>
        <w:jc w:val="both"/>
      </w:pPr>
      <w:r>
        <w:rPr>
          <w:rStyle w:val="FootnoteReference"/>
        </w:rPr>
        <w:footnoteRef/>
      </w:r>
      <w:r>
        <w:t xml:space="preserve"> </w:t>
      </w:r>
      <w:r>
        <w:tab/>
      </w:r>
      <w:r w:rsidRPr="007F6BB3">
        <w:t>This section will not address the judgments of the C</w:t>
      </w:r>
      <w:r w:rsidR="00377423">
        <w:t>ourt</w:t>
      </w:r>
      <w:r w:rsidRPr="007F6BB3">
        <w:t xml:space="preserve"> based primarily on the status of ‘Union worker’ pursuant to Article 45 et seq. TFEU.</w:t>
      </w:r>
    </w:p>
  </w:footnote>
  <w:footnote w:id="107">
    <w:p w14:paraId="56772F05" w14:textId="77777777" w:rsidR="00147C12" w:rsidRPr="00D872EA" w:rsidRDefault="00147C12" w:rsidP="00147C12">
      <w:pPr>
        <w:pStyle w:val="FootnoteText"/>
        <w:ind w:left="357" w:hanging="357"/>
        <w:jc w:val="both"/>
        <w:rPr>
          <w:szCs w:val="16"/>
        </w:rPr>
      </w:pPr>
      <w:r>
        <w:rPr>
          <w:rStyle w:val="FootnoteReference"/>
        </w:rPr>
        <w:footnoteRef/>
      </w:r>
      <w:r>
        <w:t xml:space="preserve"> </w:t>
      </w:r>
      <w:r>
        <w:tab/>
        <w:t>J</w:t>
      </w:r>
      <w:r w:rsidRPr="006B7C16">
        <w:t xml:space="preserve">udgment of the </w:t>
      </w:r>
      <w:r>
        <w:t>C</w:t>
      </w:r>
      <w:r w:rsidRPr="006B7C16">
        <w:t xml:space="preserve">ourt (Grand Chamber) of 14 December 2021, </w:t>
      </w:r>
      <w:r w:rsidRPr="00DC4F1B">
        <w:t>V</w:t>
      </w:r>
      <w:r w:rsidRPr="00DC4F1B">
        <w:rPr>
          <w:iCs/>
        </w:rPr>
        <w:t>.М.А. v Stolichna obshtina, rayon ‘Pancharevo’</w:t>
      </w:r>
      <w:r w:rsidRPr="006B7C16">
        <w:t xml:space="preserve">, </w:t>
      </w:r>
      <w:hyperlink r:id="rId47">
        <w:r w:rsidRPr="00D872EA">
          <w:rPr>
            <w:rStyle w:val="Hyperlink"/>
            <w:rFonts w:eastAsia="Arial" w:cs="Arial"/>
            <w:szCs w:val="16"/>
          </w:rPr>
          <w:t>C-490/20</w:t>
        </w:r>
      </w:hyperlink>
      <w:r w:rsidRPr="00D872EA">
        <w:rPr>
          <w:szCs w:val="16"/>
        </w:rPr>
        <w:t>, EU:C:2021:1008.</w:t>
      </w:r>
    </w:p>
  </w:footnote>
  <w:footnote w:id="108">
    <w:p w14:paraId="0A04C32D" w14:textId="1CC52583" w:rsidR="008379E0" w:rsidRPr="006F452E" w:rsidRDefault="008379E0" w:rsidP="00090C3F">
      <w:pPr>
        <w:pStyle w:val="FootnoteText"/>
        <w:ind w:left="357" w:hanging="357"/>
        <w:jc w:val="both"/>
        <w:rPr>
          <w:lang w:val="en-IE"/>
        </w:rPr>
      </w:pPr>
      <w:r>
        <w:rPr>
          <w:rStyle w:val="FootnoteReference"/>
        </w:rPr>
        <w:footnoteRef/>
      </w:r>
      <w:r>
        <w:t xml:space="preserve"> </w:t>
      </w:r>
      <w:r>
        <w:tab/>
      </w:r>
      <w:r w:rsidRPr="008379E0">
        <w:t>Council Directive 94/80/EC and Directive 93/109/EC</w:t>
      </w:r>
      <w:r>
        <w:t>.</w:t>
      </w:r>
    </w:p>
  </w:footnote>
  <w:footnote w:id="109">
    <w:p w14:paraId="6D22AE83" w14:textId="305EAEDB" w:rsidR="008379E0" w:rsidRPr="008379E0" w:rsidRDefault="008379E0" w:rsidP="00090C3F">
      <w:pPr>
        <w:pStyle w:val="FootnoteText"/>
        <w:ind w:left="357" w:hanging="357"/>
        <w:jc w:val="both"/>
      </w:pPr>
      <w:r>
        <w:rPr>
          <w:rStyle w:val="FootnoteReference"/>
        </w:rPr>
        <w:footnoteRef/>
      </w:r>
      <w:r>
        <w:t xml:space="preserve"> </w:t>
      </w:r>
      <w:r>
        <w:tab/>
        <w:t>Proposal for a Council Directive laying down detailed arrangements for the exercise of the right to vote and stand as a candidate in elections to the European Parliament for Union citizens residing in a Member State of which they are not nationals (recast), COM(2021)732 final.</w:t>
      </w:r>
    </w:p>
  </w:footnote>
  <w:footnote w:id="110">
    <w:p w14:paraId="658D1CF0" w14:textId="77777777" w:rsidR="00581BC6" w:rsidRPr="008379E0" w:rsidRDefault="00581BC6" w:rsidP="00090C3F">
      <w:pPr>
        <w:pStyle w:val="FootnoteText"/>
        <w:ind w:left="357" w:hanging="357"/>
        <w:jc w:val="both"/>
      </w:pPr>
      <w:r>
        <w:rPr>
          <w:rStyle w:val="FootnoteReference"/>
        </w:rPr>
        <w:footnoteRef/>
      </w:r>
      <w:r>
        <w:t xml:space="preserve"> </w:t>
      </w:r>
      <w:r>
        <w:tab/>
        <w:t>Proposal for a Council Directive laying down detailed arrangements for the exercise of the right to vote and to stand as a candidate in municipal elections by Union citizens residing in a Member State of which they are not nationals (recast), COM(2021)733 final.</w:t>
      </w:r>
    </w:p>
  </w:footnote>
  <w:footnote w:id="111">
    <w:p w14:paraId="5DD63F5B" w14:textId="72DE9A12" w:rsidR="00C038CB" w:rsidRPr="00C038CB" w:rsidRDefault="00C038CB" w:rsidP="00090C3F">
      <w:pPr>
        <w:pStyle w:val="FootnoteText"/>
        <w:ind w:left="357" w:hanging="357"/>
        <w:jc w:val="both"/>
      </w:pPr>
      <w:r>
        <w:rPr>
          <w:rStyle w:val="FootnoteReference"/>
        </w:rPr>
        <w:footnoteRef/>
      </w:r>
      <w:r>
        <w:t xml:space="preserve"> </w:t>
      </w:r>
      <w:r>
        <w:tab/>
        <w:t>C</w:t>
      </w:r>
      <w:r w:rsidRPr="00C038CB">
        <w:t xml:space="preserve">ommunication from the </w:t>
      </w:r>
      <w:r>
        <w:t>C</w:t>
      </w:r>
      <w:r w:rsidRPr="00C038CB">
        <w:t xml:space="preserve">ommission to the </w:t>
      </w:r>
      <w:r>
        <w:t>E</w:t>
      </w:r>
      <w:r w:rsidRPr="00C038CB">
        <w:t xml:space="preserve">uropean </w:t>
      </w:r>
      <w:r>
        <w:t>P</w:t>
      </w:r>
      <w:r w:rsidRPr="00C038CB">
        <w:t xml:space="preserve">arliament, the </w:t>
      </w:r>
      <w:r>
        <w:t>C</w:t>
      </w:r>
      <w:r w:rsidRPr="00C038CB">
        <w:t xml:space="preserve">ouncil, the </w:t>
      </w:r>
      <w:r>
        <w:t>E</w:t>
      </w:r>
      <w:r w:rsidRPr="00C038CB">
        <w:t xml:space="preserve">uropean </w:t>
      </w:r>
      <w:r>
        <w:t>E</w:t>
      </w:r>
      <w:r w:rsidRPr="00C038CB">
        <w:t xml:space="preserve">conomic and </w:t>
      </w:r>
      <w:r>
        <w:t>S</w:t>
      </w:r>
      <w:r w:rsidRPr="00C038CB">
        <w:t xml:space="preserve">ocial </w:t>
      </w:r>
      <w:r>
        <w:t>C</w:t>
      </w:r>
      <w:r w:rsidRPr="00C038CB">
        <w:t xml:space="preserve">ommittee and the </w:t>
      </w:r>
      <w:r>
        <w:t>C</w:t>
      </w:r>
      <w:r w:rsidRPr="00C038CB">
        <w:t xml:space="preserve">ommittee of the </w:t>
      </w:r>
      <w:r>
        <w:t>R</w:t>
      </w:r>
      <w:r w:rsidRPr="00C038CB">
        <w:t>egions</w:t>
      </w:r>
      <w:r>
        <w:t>: P</w:t>
      </w:r>
      <w:r w:rsidRPr="00C038CB">
        <w:t>rotecting election integrity and promoting democratic participation</w:t>
      </w:r>
      <w:r>
        <w:t>, COM(2021)730 final.</w:t>
      </w:r>
    </w:p>
  </w:footnote>
  <w:footnote w:id="112">
    <w:p w14:paraId="300CCB3B" w14:textId="0227E171" w:rsidR="00215B79" w:rsidRPr="00215B79" w:rsidRDefault="00215B79" w:rsidP="00215B79">
      <w:pPr>
        <w:pStyle w:val="FootnoteText"/>
        <w:ind w:left="357" w:hanging="357"/>
        <w:jc w:val="both"/>
      </w:pPr>
      <w:r>
        <w:rPr>
          <w:rStyle w:val="FootnoteReference"/>
        </w:rPr>
        <w:footnoteRef/>
      </w:r>
      <w:r>
        <w:t xml:space="preserve"> </w:t>
      </w:r>
      <w:r>
        <w:tab/>
        <w:t xml:space="preserve">In </w:t>
      </w:r>
      <w:r w:rsidRPr="00215B79">
        <w:t xml:space="preserve">the </w:t>
      </w:r>
      <w:r w:rsidR="00EA6766">
        <w:t>‘</w:t>
      </w:r>
      <w:r w:rsidRPr="00215B79">
        <w:t>EU Citizenship Report 2020</w:t>
      </w:r>
      <w:r w:rsidR="00EA6766">
        <w:t>’</w:t>
      </w:r>
      <w:r w:rsidRPr="00215B79">
        <w:t xml:space="preserve"> Communication</w:t>
      </w:r>
      <w:r>
        <w:t xml:space="preserve">, </w:t>
      </w:r>
      <w:r w:rsidR="00807C66">
        <w:t>the Commission said it would</w:t>
      </w:r>
      <w:r>
        <w:t xml:space="preserve"> </w:t>
      </w:r>
      <w:r w:rsidR="00807C66">
        <w:t>‘</w:t>
      </w:r>
      <w:r>
        <w:t>explore, in close cooperation with the Parliament, the possibility of creating a dedicated shared resource to support EU citizens in exercising their electoral rights, as well as providing additional avenues for them to report hurdles and incidents affecting their political participation. This should be made available to both EU citizens (including mobile EU citizens) and relevant authorities by autumn 2023.</w:t>
      </w:r>
      <w:r w:rsidR="00807C66">
        <w:t>’</w:t>
      </w:r>
    </w:p>
  </w:footnote>
  <w:footnote w:id="113">
    <w:p w14:paraId="101BF9A2" w14:textId="2A48702A" w:rsidR="00722A79" w:rsidRPr="00722A79" w:rsidRDefault="00722A79" w:rsidP="00090C3F">
      <w:pPr>
        <w:pStyle w:val="FootnoteText"/>
        <w:ind w:left="357" w:hanging="357"/>
        <w:jc w:val="both"/>
      </w:pPr>
      <w:r>
        <w:rPr>
          <w:rStyle w:val="FootnoteReference"/>
        </w:rPr>
        <w:footnoteRef/>
      </w:r>
      <w:r>
        <w:t xml:space="preserve"> </w:t>
      </w:r>
      <w:r>
        <w:tab/>
      </w:r>
      <w:r w:rsidR="00E13516">
        <w:t xml:space="preserve">A dedicated website was set up: </w:t>
      </w:r>
      <w:hyperlink r:id="rId48" w:history="1">
        <w:r w:rsidR="00E13516" w:rsidRPr="00E13516">
          <w:rPr>
            <w:rStyle w:val="Hyperlink"/>
          </w:rPr>
          <w:t>https://elections.europa.eu/en/</w:t>
        </w:r>
      </w:hyperlink>
      <w:r>
        <w:t xml:space="preserve"> </w:t>
      </w:r>
    </w:p>
  </w:footnote>
  <w:footnote w:id="114">
    <w:p w14:paraId="587970A0" w14:textId="77777777" w:rsidR="00A47978" w:rsidRPr="00A47978" w:rsidRDefault="00A47978" w:rsidP="00685414">
      <w:pPr>
        <w:pStyle w:val="FootnoteText"/>
        <w:ind w:left="357" w:hanging="357"/>
        <w:jc w:val="both"/>
      </w:pPr>
      <w:r>
        <w:rPr>
          <w:rStyle w:val="FootnoteReference"/>
        </w:rPr>
        <w:footnoteRef/>
      </w:r>
      <w:r>
        <w:t xml:space="preserve"> </w:t>
      </w:r>
      <w:r>
        <w:tab/>
      </w:r>
      <w:r w:rsidRPr="00A47978">
        <w:t>Council Directive 93/109/EC of 6 December 1993 laying down detailed arrangements for the exercise of the right to vote and stand as a candidate in elections to the European Parliament for citizens of the Union residing in a Member State of which they are not nationals</w:t>
      </w:r>
      <w:r>
        <w:t xml:space="preserve">, </w:t>
      </w:r>
      <w:r w:rsidRPr="00A47978">
        <w:rPr>
          <w:i/>
          <w:iCs/>
        </w:rPr>
        <w:t>OJ L 329, 30.12.1993, p.34</w:t>
      </w:r>
      <w:r>
        <w:t>.</w:t>
      </w:r>
    </w:p>
  </w:footnote>
  <w:footnote w:id="115">
    <w:p w14:paraId="7F9F72C7" w14:textId="5D158770" w:rsidR="00A47978" w:rsidRPr="00E70281" w:rsidRDefault="00A47978" w:rsidP="00E70281">
      <w:pPr>
        <w:pStyle w:val="FootnoteText"/>
        <w:ind w:left="357" w:hanging="357"/>
        <w:jc w:val="both"/>
      </w:pPr>
      <w:r>
        <w:rPr>
          <w:rStyle w:val="FootnoteReference"/>
        </w:rPr>
        <w:footnoteRef/>
      </w:r>
      <w:r>
        <w:t xml:space="preserve"> </w:t>
      </w:r>
      <w:r w:rsidR="00E70281">
        <w:tab/>
      </w:r>
      <w:r>
        <w:t xml:space="preserve">Article 14(1) of the Directive </w:t>
      </w:r>
      <w:r w:rsidR="00E70281">
        <w:t xml:space="preserve">establishes: </w:t>
      </w:r>
      <w:r w:rsidR="00D15E24">
        <w:t>‘</w:t>
      </w:r>
      <w:r w:rsidR="00E70281">
        <w:t>If on 1 January 1993, in a given Member State, the proportion of citizens of the Union of voting age who reside in it but are not nationals of it exceeds 20 % of the total number of citizens of the Union residing there who are of voting age, that Member State may, by way of derogation from Articles 3, 9 and 10: (a) restrict the right to vote to Community voters who have resided in that Member State for a minimum period, which may not exceed five years; (b) restrict the right to stand as a candidate to Community nationals entitled to stand as candidates who have resided in that Member State for a minimum period, which may not exceed 10 years. These provisions are without prejudice to appropriate measures which this Member State may take with regard to the composition of lists of candidates and which are intended in particular to encourage the integration of non-national citizens of the Union. However, Community voters and Community nationals entitled to stand as candidates who, owing to the fact that they have taken up residence outside their home Member State or by reason of the duration of such residence, do not have the right to vote or to stand as candidates in that home State shall not be subject to the conditions as to length of residence set out above.</w:t>
      </w:r>
      <w:r w:rsidR="00D15E24">
        <w:t>’</w:t>
      </w:r>
      <w:r w:rsidR="00D14D4B">
        <w:t xml:space="preserve"> </w:t>
      </w:r>
      <w:r w:rsidR="00D14D4B" w:rsidRPr="00867E87">
        <w:t>Luxembourg is the only Member State that reaches this threshold. Under Luxembourgish law, lists for the European parliament elections must be composed of a majority of Luxembourgish citizens.</w:t>
      </w:r>
    </w:p>
  </w:footnote>
  <w:footnote w:id="116">
    <w:p w14:paraId="3E590C73" w14:textId="11C9AC5F" w:rsidR="00A70F89" w:rsidRPr="00DB5575" w:rsidRDefault="00A70F89" w:rsidP="00DB5575">
      <w:pPr>
        <w:pStyle w:val="FootnoteText"/>
        <w:ind w:left="357" w:hanging="357"/>
        <w:jc w:val="both"/>
        <w:rPr>
          <w:lang w:val="en-US"/>
        </w:rPr>
      </w:pPr>
      <w:r>
        <w:rPr>
          <w:rStyle w:val="FootnoteReference"/>
        </w:rPr>
        <w:footnoteRef/>
      </w:r>
      <w:r>
        <w:t xml:space="preserve"> </w:t>
      </w:r>
      <w:r w:rsidR="0075401D">
        <w:tab/>
        <w:t xml:space="preserve">Report from the Commission to the European Parliament and the Council on granting a derogation under Article 22(2) on the treaty on the Functioning of the European Union, presented under Article 14(3) of Directive </w:t>
      </w:r>
      <w:r w:rsidR="00DB5575">
        <w:t>93/109/EC on the right to vote and stand as a candidate in elections to the European Parliament,</w:t>
      </w:r>
      <w:r w:rsidR="0075401D">
        <w:t xml:space="preserve"> </w:t>
      </w:r>
      <w:r w:rsidRPr="00A70F89">
        <w:t>COM(2023)688 fina</w:t>
      </w:r>
      <w:r w:rsidR="00DB5575">
        <w:t>l.</w:t>
      </w:r>
    </w:p>
  </w:footnote>
  <w:footnote w:id="117">
    <w:p w14:paraId="6D0048DA" w14:textId="41B2BE66" w:rsidR="00543D9D" w:rsidRPr="00543D9D" w:rsidRDefault="00543D9D" w:rsidP="00090C3F">
      <w:pPr>
        <w:pStyle w:val="FootnoteText"/>
        <w:ind w:left="357" w:hanging="357"/>
        <w:jc w:val="both"/>
      </w:pPr>
      <w:r>
        <w:rPr>
          <w:rStyle w:val="FootnoteReference"/>
        </w:rPr>
        <w:footnoteRef/>
      </w:r>
      <w:r>
        <w:t xml:space="preserve"> </w:t>
      </w:r>
      <w:r>
        <w:tab/>
      </w:r>
      <w:r w:rsidRPr="00543D9D">
        <w:t>On 4 March 2020, the European Commission agreed on admissibility and registered a European Citizens'</w:t>
      </w:r>
    </w:p>
    <w:p w14:paraId="550F8EFA" w14:textId="76419AF8" w:rsidR="00543D9D" w:rsidRPr="00543D9D" w:rsidRDefault="4FAC546D" w:rsidP="00090C3F">
      <w:pPr>
        <w:pStyle w:val="FootnoteText"/>
        <w:ind w:left="357"/>
        <w:jc w:val="both"/>
      </w:pPr>
      <w:r>
        <w:t xml:space="preserve">Initiative entitled </w:t>
      </w:r>
      <w:r w:rsidR="00D15E24">
        <w:t>‘</w:t>
      </w:r>
      <w:r>
        <w:t>Voters without borders, full political rights for EU citizens</w:t>
      </w:r>
      <w:r w:rsidR="00D15E24">
        <w:t>’</w:t>
      </w:r>
      <w:r>
        <w:t>. The organisers call</w:t>
      </w:r>
      <w:r w:rsidR="00D15E24">
        <w:t>ed</w:t>
      </w:r>
      <w:r>
        <w:t xml:space="preserve"> for </w:t>
      </w:r>
      <w:r w:rsidR="00D15E24">
        <w:t>‘</w:t>
      </w:r>
      <w:r>
        <w:t>reforms to strengthen the existing rights of EU citizens to vote and stand in European and municipal elections in their country of residence and new legislation to extend them to regional, national elections and referenda</w:t>
      </w:r>
      <w:r w:rsidR="00D15E24">
        <w:t>’</w:t>
      </w:r>
      <w:r>
        <w:t>. However, the organisers did not manage to collect the necessary support by 13 June 2022</w:t>
      </w:r>
      <w:r w:rsidR="00A71DC0">
        <w:t>.</w:t>
      </w:r>
    </w:p>
  </w:footnote>
  <w:footnote w:id="118">
    <w:p w14:paraId="183D3905" w14:textId="77777777" w:rsidR="00E13516" w:rsidRPr="000F1408" w:rsidRDefault="00E13516" w:rsidP="00090C3F">
      <w:pPr>
        <w:pStyle w:val="FootnoteText"/>
        <w:ind w:left="357" w:hanging="357"/>
        <w:jc w:val="both"/>
        <w:rPr>
          <w:lang w:val="en-IE"/>
        </w:rPr>
      </w:pPr>
      <w:r>
        <w:rPr>
          <w:rStyle w:val="FootnoteReference"/>
        </w:rPr>
        <w:footnoteRef/>
      </w:r>
      <w:r w:rsidRPr="000F1408">
        <w:rPr>
          <w:lang w:val="en-IE"/>
        </w:rPr>
        <w:t xml:space="preserve"> </w:t>
      </w:r>
      <w:r w:rsidRPr="000F1408">
        <w:rPr>
          <w:lang w:val="en-IE"/>
        </w:rPr>
        <w:tab/>
        <w:t>Article 10(3) TEU.</w:t>
      </w:r>
    </w:p>
  </w:footnote>
  <w:footnote w:id="119">
    <w:p w14:paraId="6747D76F" w14:textId="5F0EF003" w:rsidR="00215B79" w:rsidRPr="00215B79" w:rsidRDefault="00215B79" w:rsidP="00F40C6A">
      <w:pPr>
        <w:pStyle w:val="FootnoteText"/>
        <w:ind w:left="357" w:hanging="357"/>
        <w:jc w:val="both"/>
      </w:pPr>
      <w:r>
        <w:rPr>
          <w:rStyle w:val="FootnoteReference"/>
        </w:rPr>
        <w:footnoteRef/>
      </w:r>
      <w:r>
        <w:t xml:space="preserve"> </w:t>
      </w:r>
      <w:r w:rsidR="00F40C6A">
        <w:tab/>
      </w:r>
      <w:r w:rsidRPr="00023A9E">
        <w:t xml:space="preserve">Joint Communication </w:t>
      </w:r>
      <w:r>
        <w:t>t</w:t>
      </w:r>
      <w:r w:rsidRPr="00023A9E">
        <w:t xml:space="preserve">o </w:t>
      </w:r>
      <w:r>
        <w:t>t</w:t>
      </w:r>
      <w:r w:rsidRPr="00023A9E">
        <w:t xml:space="preserve">he European Parliament, </w:t>
      </w:r>
      <w:r>
        <w:t>t</w:t>
      </w:r>
      <w:r w:rsidRPr="00023A9E">
        <w:t xml:space="preserve">he European Council, </w:t>
      </w:r>
      <w:r>
        <w:t>t</w:t>
      </w:r>
      <w:r w:rsidRPr="00023A9E">
        <w:t xml:space="preserve">he Council, </w:t>
      </w:r>
      <w:r>
        <w:t>t</w:t>
      </w:r>
      <w:r w:rsidRPr="00023A9E">
        <w:t xml:space="preserve">he European Economic </w:t>
      </w:r>
      <w:r>
        <w:t>a</w:t>
      </w:r>
      <w:r w:rsidRPr="00023A9E">
        <w:t xml:space="preserve">nd Social Committee </w:t>
      </w:r>
      <w:r>
        <w:t>a</w:t>
      </w:r>
      <w:r w:rsidRPr="00023A9E">
        <w:t xml:space="preserve">nd </w:t>
      </w:r>
      <w:r>
        <w:t>t</w:t>
      </w:r>
      <w:r w:rsidRPr="00023A9E">
        <w:t xml:space="preserve">he Committee </w:t>
      </w:r>
      <w:r>
        <w:t>o</w:t>
      </w:r>
      <w:r w:rsidRPr="00023A9E">
        <w:t xml:space="preserve">f </w:t>
      </w:r>
      <w:r>
        <w:t>t</w:t>
      </w:r>
      <w:r w:rsidRPr="00023A9E">
        <w:t>he Regions</w:t>
      </w:r>
      <w:r>
        <w:t xml:space="preserve">, </w:t>
      </w:r>
      <w:r w:rsidRPr="00023A9E">
        <w:t>Tackling COVID-19 disinformation - Getting the facts right</w:t>
      </w:r>
      <w:r>
        <w:t>, JOIN/2020/8 final.</w:t>
      </w:r>
    </w:p>
  </w:footnote>
  <w:footnote w:id="120">
    <w:p w14:paraId="0BF5A9E6" w14:textId="795A96CA" w:rsidR="00C0377F" w:rsidRPr="00C0377F" w:rsidRDefault="00C0377F" w:rsidP="005E4E7A">
      <w:pPr>
        <w:pStyle w:val="FootnoteText"/>
        <w:ind w:left="357" w:hanging="357"/>
        <w:jc w:val="both"/>
        <w:rPr>
          <w:lang w:val="en-IE"/>
        </w:rPr>
      </w:pPr>
      <w:r>
        <w:rPr>
          <w:rStyle w:val="FootnoteReference"/>
        </w:rPr>
        <w:footnoteRef/>
      </w:r>
      <w:r>
        <w:t xml:space="preserve">  </w:t>
      </w:r>
      <w:r>
        <w:tab/>
        <w:t xml:space="preserve">Communication from the Commission to the European Parliament, the Council, the European Economic and Social Committee and the Committee of the Regions, </w:t>
      </w:r>
      <w:r w:rsidR="00D15E24">
        <w:t>‘</w:t>
      </w:r>
      <w:r>
        <w:t>On the European Democracy Action Plan</w:t>
      </w:r>
      <w:r w:rsidR="00D15E24">
        <w:t>’</w:t>
      </w:r>
      <w:r>
        <w:t xml:space="preserve">, COM(2020)790 final. </w:t>
      </w:r>
    </w:p>
  </w:footnote>
  <w:footnote w:id="121">
    <w:p w14:paraId="75E215B3" w14:textId="671D4294" w:rsidR="00B2519F" w:rsidRPr="00BD00A9" w:rsidRDefault="00B2519F" w:rsidP="00565306">
      <w:pPr>
        <w:pStyle w:val="FootnoteText"/>
        <w:ind w:left="357" w:hanging="357"/>
        <w:jc w:val="both"/>
        <w:rPr>
          <w:lang w:val="en-IE"/>
        </w:rPr>
      </w:pPr>
      <w:r w:rsidRPr="00BD00A9">
        <w:rPr>
          <w:rStyle w:val="FootnoteReference"/>
        </w:rPr>
        <w:footnoteRef/>
      </w:r>
      <w:r w:rsidRPr="00BD00A9">
        <w:t xml:space="preserve"> </w:t>
      </w:r>
      <w:r w:rsidRPr="00BD00A9">
        <w:tab/>
        <w:t>The DSA aims to create a safer online environment for consumers and companies in the E</w:t>
      </w:r>
      <w:r w:rsidR="00346966" w:rsidRPr="00BD00A9">
        <w:t>U</w:t>
      </w:r>
      <w:r w:rsidRPr="00BD00A9">
        <w:t>, with a set of rules designed to protect consumers and their fundamental rights more effectively. It also defines clear responsibilities for online platforms and social media and deals with illegal content and products, hate speech and disinformation. Effective enforcement of the DSA will help address systemic risks threatening the EU’s democratic processes such as the use of very large online platforms as tools for disinformation campaigns.</w:t>
      </w:r>
    </w:p>
  </w:footnote>
  <w:footnote w:id="122">
    <w:p w14:paraId="69341487" w14:textId="511237C3" w:rsidR="00EF1C56" w:rsidRPr="00BD00A9" w:rsidRDefault="00EF1C56" w:rsidP="00A71DC0">
      <w:pPr>
        <w:pStyle w:val="FootnoteText"/>
        <w:ind w:left="357" w:hanging="357"/>
        <w:jc w:val="both"/>
        <w:rPr>
          <w:lang w:val="en-IE"/>
        </w:rPr>
      </w:pPr>
      <w:r w:rsidRPr="00BD00A9">
        <w:rPr>
          <w:rStyle w:val="FootnoteReference"/>
        </w:rPr>
        <w:footnoteRef/>
      </w:r>
      <w:r w:rsidRPr="00BD00A9">
        <w:rPr>
          <w:lang w:val="en-IE"/>
        </w:rPr>
        <w:t xml:space="preserve"> </w:t>
      </w:r>
      <w:r w:rsidRPr="00BD00A9">
        <w:rPr>
          <w:lang w:val="en-IE"/>
        </w:rPr>
        <w:tab/>
      </w:r>
      <w:r w:rsidR="003804ED" w:rsidRPr="00BD00A9">
        <w:t>Proposal for a Regulation of the European Parliament and of the Council on the transparency and targeting of political advertising, COM/2021/731 final.</w:t>
      </w:r>
    </w:p>
  </w:footnote>
  <w:footnote w:id="123">
    <w:p w14:paraId="62C5D596" w14:textId="50FA1995" w:rsidR="004C6838" w:rsidRPr="004C6838" w:rsidRDefault="004C6838" w:rsidP="00565306">
      <w:pPr>
        <w:pStyle w:val="FootnoteText"/>
        <w:ind w:left="357" w:hanging="357"/>
        <w:jc w:val="both"/>
      </w:pPr>
      <w:r w:rsidRPr="00BD00A9">
        <w:rPr>
          <w:rStyle w:val="FootnoteReference"/>
        </w:rPr>
        <w:footnoteRef/>
      </w:r>
      <w:r w:rsidRPr="00BD00A9">
        <w:t xml:space="preserve"> </w:t>
      </w:r>
      <w:r w:rsidRPr="00BD00A9">
        <w:tab/>
        <w:t>However, the definitions and the non-discrimination clause, which provides that political advertising services cannot be restricted solely based on place of residence or establishment of the sponsor of political advertising, will apply in time for the elections to the European Parliament.</w:t>
      </w:r>
    </w:p>
  </w:footnote>
  <w:footnote w:id="124">
    <w:p w14:paraId="27DF5D62" w14:textId="42F2074F" w:rsidR="00EF1C56" w:rsidRPr="000F1408" w:rsidRDefault="00EF1C56" w:rsidP="00090C3F">
      <w:pPr>
        <w:pStyle w:val="FootnoteText"/>
        <w:ind w:left="357" w:hanging="357"/>
        <w:jc w:val="both"/>
        <w:rPr>
          <w:lang w:val="en-IE"/>
        </w:rPr>
      </w:pPr>
      <w:r>
        <w:rPr>
          <w:rStyle w:val="FootnoteReference"/>
        </w:rPr>
        <w:footnoteRef/>
      </w:r>
      <w:r w:rsidRPr="000F1408">
        <w:rPr>
          <w:lang w:val="en-IE"/>
        </w:rPr>
        <w:t xml:space="preserve"> </w:t>
      </w:r>
      <w:r w:rsidRPr="000F1408">
        <w:rPr>
          <w:lang w:val="en-IE"/>
        </w:rPr>
        <w:tab/>
      </w:r>
      <w:r w:rsidR="00452454" w:rsidRPr="000F1408">
        <w:rPr>
          <w:lang w:val="en-IE"/>
        </w:rPr>
        <w:t>Proposal for a Regulation of the European Parliament and of the Cou</w:t>
      </w:r>
      <w:r w:rsidR="00452454">
        <w:rPr>
          <w:lang w:val="en-IE"/>
        </w:rPr>
        <w:t>ncil on the statute and funding of European political parties and European political foundations (recast), COM/2021/734 final.</w:t>
      </w:r>
      <w:r w:rsidRPr="000F1408">
        <w:rPr>
          <w:lang w:val="en-IE"/>
        </w:rPr>
        <w:t xml:space="preserve"> </w:t>
      </w:r>
    </w:p>
  </w:footnote>
  <w:footnote w:id="125">
    <w:p w14:paraId="72D1B7A9" w14:textId="20308904" w:rsidR="009F5FF9" w:rsidRPr="009F5FF9" w:rsidRDefault="009F5FF9" w:rsidP="00090C3F">
      <w:pPr>
        <w:pStyle w:val="FootnoteText"/>
        <w:ind w:left="357" w:hanging="357"/>
        <w:jc w:val="both"/>
      </w:pPr>
      <w:r>
        <w:rPr>
          <w:rStyle w:val="FootnoteReference"/>
        </w:rPr>
        <w:footnoteRef/>
      </w:r>
      <w:r>
        <w:t xml:space="preserve"> </w:t>
      </w:r>
      <w:r>
        <w:tab/>
      </w:r>
      <w:r w:rsidRPr="005B0E4B">
        <w:t>This network, which gathers representatives of national authorities with competence in electoral matters, meets regularly, to discuss practical solutions to issues such as disinformation and other manipulations, data protection, enhanced transparency, interactions with platforms, equal and inclusive democratic participation etc.</w:t>
      </w:r>
    </w:p>
  </w:footnote>
  <w:footnote w:id="126">
    <w:p w14:paraId="5DC92A96" w14:textId="16E416D0" w:rsidR="00206677" w:rsidRPr="00597E61" w:rsidRDefault="00206677" w:rsidP="009E4E80">
      <w:pPr>
        <w:pStyle w:val="FootnoteText"/>
        <w:ind w:left="357" w:hanging="357"/>
      </w:pPr>
      <w:r>
        <w:rPr>
          <w:rStyle w:val="FootnoteReference"/>
        </w:rPr>
        <w:footnoteRef/>
      </w:r>
      <w:r>
        <w:t xml:space="preserve"> </w:t>
      </w:r>
      <w:r>
        <w:tab/>
      </w:r>
      <w:hyperlink r:id="rId49" w:history="1">
        <w:r w:rsidR="00A71DC0" w:rsidRPr="00234C59">
          <w:rPr>
            <w:rStyle w:val="Hyperlink"/>
          </w:rPr>
          <w:t>https://ec.europa.eu/information_society/newsroom/image/document/2018-30/election_security_compendium_00BE09F9-D2BE-5D69-9E39C5A9C81C290F_53645.pdf</w:t>
        </w:r>
      </w:hyperlink>
      <w:r w:rsidR="00A71DC0">
        <w:t xml:space="preserve"> </w:t>
      </w:r>
    </w:p>
  </w:footnote>
  <w:footnote w:id="127">
    <w:p w14:paraId="44A69378" w14:textId="10109CFA" w:rsidR="00EF1C56" w:rsidRPr="00EF1C56" w:rsidRDefault="00EF1C56" w:rsidP="00EF1C56">
      <w:pPr>
        <w:pStyle w:val="FootnoteText"/>
        <w:ind w:left="357" w:hanging="357"/>
      </w:pPr>
      <w:r>
        <w:rPr>
          <w:rStyle w:val="FootnoteReference"/>
        </w:rPr>
        <w:footnoteRef/>
      </w:r>
      <w:r>
        <w:t xml:space="preserve"> </w:t>
      </w:r>
      <w:r>
        <w:tab/>
      </w:r>
      <w:hyperlink r:id="rId50" w:history="1">
        <w:r w:rsidR="00DC3653" w:rsidRPr="00C44305">
          <w:rPr>
            <w:rStyle w:val="Hyperlink"/>
          </w:rPr>
          <w:t>https://roadtoep2024.eu/</w:t>
        </w:r>
      </w:hyperlink>
      <w:r w:rsidR="00DC3653">
        <w:t xml:space="preserve"> </w:t>
      </w:r>
    </w:p>
  </w:footnote>
  <w:footnote w:id="128">
    <w:p w14:paraId="78EC02B0" w14:textId="4BA96972" w:rsidR="003804ED" w:rsidRPr="003804ED" w:rsidRDefault="003804ED" w:rsidP="000F1408">
      <w:pPr>
        <w:pStyle w:val="FootnoteText"/>
        <w:ind w:left="357" w:hanging="357"/>
      </w:pPr>
      <w:r>
        <w:rPr>
          <w:rStyle w:val="FootnoteReference"/>
        </w:rPr>
        <w:footnoteRef/>
      </w:r>
      <w:r>
        <w:t xml:space="preserve"> </w:t>
      </w:r>
      <w:r>
        <w:tab/>
      </w:r>
      <w:hyperlink r:id="rId51" w:history="1">
        <w:r w:rsidR="00A71DC0" w:rsidRPr="00234C59">
          <w:rPr>
            <w:rStyle w:val="Hyperlink"/>
          </w:rPr>
          <w:t>https://ec.europa.eu/commission/presscorner/detail/en/ip_22_5504</w:t>
        </w:r>
      </w:hyperlink>
      <w:r w:rsidR="00A71DC0">
        <w:t xml:space="preserve"> </w:t>
      </w:r>
    </w:p>
  </w:footnote>
  <w:footnote w:id="129">
    <w:p w14:paraId="5211792E" w14:textId="77777777" w:rsidR="003804ED" w:rsidRPr="003804ED" w:rsidRDefault="003804ED" w:rsidP="00A71DC0">
      <w:pPr>
        <w:pStyle w:val="FootnoteText"/>
        <w:ind w:left="357" w:hanging="357"/>
        <w:jc w:val="both"/>
      </w:pPr>
      <w:r>
        <w:rPr>
          <w:rStyle w:val="FootnoteReference"/>
        </w:rPr>
        <w:footnoteRef/>
      </w:r>
      <w:r>
        <w:t xml:space="preserve"> </w:t>
      </w:r>
      <w:r>
        <w:tab/>
        <w:t>Proposal for a Regulation of the European Parliament and of the Council establishing a common framework for media services in the internal market (European Media Freedom Act) and amending Directive 2010/13/EU, COM/2022/457 final.</w:t>
      </w:r>
    </w:p>
  </w:footnote>
  <w:footnote w:id="130">
    <w:p w14:paraId="6324B8F6" w14:textId="43D19F90" w:rsidR="00BA29EE" w:rsidRPr="00BA29EE" w:rsidRDefault="00BA29EE" w:rsidP="002045D5">
      <w:pPr>
        <w:pStyle w:val="FootnoteText"/>
        <w:ind w:left="357" w:hanging="357"/>
        <w:jc w:val="both"/>
        <w:rPr>
          <w:lang w:val="en-IE"/>
        </w:rPr>
      </w:pPr>
      <w:r>
        <w:rPr>
          <w:rStyle w:val="FootnoteReference"/>
        </w:rPr>
        <w:footnoteRef/>
      </w:r>
      <w:r>
        <w:t xml:space="preserve"> </w:t>
      </w:r>
      <w:r w:rsidR="002045D5">
        <w:tab/>
      </w:r>
      <w:r w:rsidR="002045D5">
        <w:rPr>
          <w:lang w:val="en-IE"/>
        </w:rPr>
        <w:t xml:space="preserve">Communication from the Commission to the European Parliament, the European Council, the Council, the European Economic and Social Committee and the Committee of the Regions, </w:t>
      </w:r>
      <w:r w:rsidR="00023E5B">
        <w:rPr>
          <w:lang w:val="en-IE"/>
        </w:rPr>
        <w:t>‘</w:t>
      </w:r>
      <w:r w:rsidR="002045D5">
        <w:rPr>
          <w:lang w:val="en-IE"/>
        </w:rPr>
        <w:t>Conference on the Future of Europe – Putting Vision into Concrete Action</w:t>
      </w:r>
      <w:r w:rsidR="00023E5B">
        <w:rPr>
          <w:lang w:val="en-IE"/>
        </w:rPr>
        <w:t>’</w:t>
      </w:r>
      <w:r w:rsidR="002045D5">
        <w:rPr>
          <w:lang w:val="en-IE"/>
        </w:rPr>
        <w:t>, COM(2022) 404 final.</w:t>
      </w:r>
    </w:p>
  </w:footnote>
  <w:footnote w:id="131">
    <w:p w14:paraId="12CA67D3" w14:textId="21372267" w:rsidR="004615FB" w:rsidRPr="004615FB" w:rsidRDefault="004615FB" w:rsidP="004615FB">
      <w:pPr>
        <w:pStyle w:val="FootnoteText"/>
        <w:ind w:left="357" w:hanging="357"/>
      </w:pPr>
      <w:r>
        <w:rPr>
          <w:rStyle w:val="FootnoteReference"/>
        </w:rPr>
        <w:footnoteRef/>
      </w:r>
      <w:r>
        <w:t xml:space="preserve"> </w:t>
      </w:r>
      <w:r>
        <w:tab/>
      </w:r>
      <w:hyperlink r:id="rId52" w:history="1">
        <w:r w:rsidRPr="009C3B88">
          <w:rPr>
            <w:rStyle w:val="Hyperlink"/>
          </w:rPr>
          <w:t>https://citizens.ec.europa.eu/index_en</w:t>
        </w:r>
      </w:hyperlink>
      <w:r>
        <w:t xml:space="preserve"> </w:t>
      </w:r>
    </w:p>
  </w:footnote>
  <w:footnote w:id="132">
    <w:p w14:paraId="6629A9CD" w14:textId="4F450325" w:rsidR="00B42A41" w:rsidRPr="00F03A01" w:rsidRDefault="00B42A41" w:rsidP="006C55B0">
      <w:pPr>
        <w:pStyle w:val="FootnoteText"/>
        <w:ind w:left="357" w:hanging="357"/>
        <w:jc w:val="both"/>
        <w:rPr>
          <w:lang w:val="en-IE"/>
        </w:rPr>
      </w:pPr>
      <w:r>
        <w:rPr>
          <w:rStyle w:val="FootnoteReference"/>
        </w:rPr>
        <w:footnoteRef/>
      </w:r>
      <w:r>
        <w:t xml:space="preserve"> </w:t>
      </w:r>
      <w:r w:rsidR="00F03A01">
        <w:tab/>
      </w:r>
      <w:r w:rsidRPr="00F03A01">
        <w:rPr>
          <w:lang w:val="en-IE"/>
        </w:rPr>
        <w:t>Resolution of the Council of the European Union and the Representatives of the Governments of the Member States meeting within the Council on a framework for European cooperation in the youth field: The European Union Youth Strategy 2019-2027</w:t>
      </w:r>
      <w:r w:rsidR="00F03A01" w:rsidRPr="00F03A01">
        <w:rPr>
          <w:lang w:val="en-IE"/>
        </w:rPr>
        <w:t>, which was adopted by the Council in November 2018</w:t>
      </w:r>
      <w:r w:rsidR="00F03A01">
        <w:rPr>
          <w:lang w:val="en-IE"/>
        </w:rPr>
        <w:t>.</w:t>
      </w:r>
    </w:p>
  </w:footnote>
  <w:footnote w:id="133">
    <w:p w14:paraId="6CA88B13" w14:textId="6DB16F73" w:rsidR="00F0538D" w:rsidRPr="00F0538D" w:rsidRDefault="00F0538D" w:rsidP="00F0538D">
      <w:pPr>
        <w:pStyle w:val="FootnoteText"/>
        <w:ind w:left="357" w:hanging="357"/>
        <w:jc w:val="both"/>
        <w:rPr>
          <w:lang w:val="en-IE"/>
        </w:rPr>
      </w:pPr>
      <w:r>
        <w:rPr>
          <w:rStyle w:val="FootnoteReference"/>
        </w:rPr>
        <w:footnoteRef/>
      </w:r>
      <w:r w:rsidRPr="00F0538D">
        <w:rPr>
          <w:lang w:val="en-IE"/>
        </w:rPr>
        <w:t xml:space="preserve"> </w:t>
      </w:r>
      <w:r>
        <w:rPr>
          <w:lang w:val="en-IE"/>
        </w:rPr>
        <w:tab/>
      </w:r>
      <w:bookmarkStart w:id="71" w:name="_Hlk151735475"/>
      <w:r w:rsidRPr="00F0538D">
        <w:rPr>
          <w:lang w:val="en-IE"/>
        </w:rPr>
        <w:t xml:space="preserve">This includes projects </w:t>
      </w:r>
      <w:r>
        <w:rPr>
          <w:lang w:val="en-IE"/>
        </w:rPr>
        <w:t xml:space="preserve">in response to a </w:t>
      </w:r>
      <w:hyperlink r:id="rId53" w:history="1">
        <w:r w:rsidRPr="00C53F39">
          <w:rPr>
            <w:rStyle w:val="Hyperlink"/>
            <w:lang w:val="en-IE"/>
          </w:rPr>
          <w:t>call</w:t>
        </w:r>
      </w:hyperlink>
      <w:r>
        <w:rPr>
          <w:lang w:val="en-IE"/>
        </w:rPr>
        <w:t xml:space="preserve"> on detecting, analysing and countering foreign information manipulation and interference, and a </w:t>
      </w:r>
      <w:hyperlink r:id="rId54" w:history="1">
        <w:r w:rsidRPr="00C53F39">
          <w:rPr>
            <w:rStyle w:val="Hyperlink"/>
            <w:lang w:val="en-IE"/>
          </w:rPr>
          <w:t>call</w:t>
        </w:r>
      </w:hyperlink>
      <w:r>
        <w:rPr>
          <w:lang w:val="en-IE"/>
        </w:rPr>
        <w:t xml:space="preserve"> on developing a better understanding of information suppression by state authorities as an example of foreign information manipulation and interference. For this last one, p</w:t>
      </w:r>
      <w:r w:rsidRPr="00F0538D">
        <w:rPr>
          <w:lang w:val="en-IE"/>
        </w:rPr>
        <w:t>rojects will be explicitly requested to analyse particularly the means of influence embedded within diaspora communities, and to develop lists of indicators that allow legislators and policymakers to elaborate adequate policy responses</w:t>
      </w:r>
      <w:r>
        <w:rPr>
          <w:lang w:val="en-IE"/>
        </w:rPr>
        <w:t>.</w:t>
      </w:r>
      <w:bookmarkEnd w:id="71"/>
    </w:p>
  </w:footnote>
  <w:footnote w:id="134">
    <w:p w14:paraId="1BB08E15" w14:textId="79BF2959" w:rsidR="007D5743" w:rsidRPr="00AF5B45" w:rsidRDefault="007D5743" w:rsidP="006C55B0">
      <w:pPr>
        <w:pStyle w:val="FootnoteText"/>
        <w:ind w:left="357" w:hanging="357"/>
        <w:jc w:val="both"/>
        <w:rPr>
          <w:lang w:val="fr-BE"/>
        </w:rPr>
      </w:pPr>
      <w:r>
        <w:rPr>
          <w:rStyle w:val="FootnoteReference"/>
        </w:rPr>
        <w:footnoteRef/>
      </w:r>
      <w:r w:rsidRPr="00AF5B45">
        <w:rPr>
          <w:lang w:val="fr-BE"/>
        </w:rPr>
        <w:t xml:space="preserve"> </w:t>
      </w:r>
      <w:r>
        <w:rPr>
          <w:lang w:val="fr-BE"/>
        </w:rPr>
        <w:tab/>
      </w:r>
      <w:r w:rsidRPr="00AF5B45">
        <w:rPr>
          <w:lang w:val="fr-BE"/>
        </w:rPr>
        <w:t>Judgment</w:t>
      </w:r>
      <w:r w:rsidRPr="00F742EA">
        <w:rPr>
          <w:lang w:val="fr-BE"/>
        </w:rPr>
        <w:t xml:space="preserve"> of 9 June 2022, EP v Préfet du Gers and Institut national de la statistique et des études économiques (INSEE), </w:t>
      </w:r>
      <w:hyperlink r:id="rId55" w:history="1">
        <w:r w:rsidRPr="00F742EA">
          <w:rPr>
            <w:rStyle w:val="Hyperlink"/>
            <w:lang w:val="fr-BE"/>
          </w:rPr>
          <w:t>C-673/20</w:t>
        </w:r>
      </w:hyperlink>
      <w:r w:rsidRPr="00F742EA">
        <w:rPr>
          <w:lang w:val="fr-BE"/>
        </w:rPr>
        <w:t>, EU:C:2022:449.</w:t>
      </w:r>
    </w:p>
  </w:footnote>
  <w:footnote w:id="135">
    <w:p w14:paraId="5F477D57" w14:textId="5BE33246" w:rsidR="007D5743" w:rsidRDefault="007D5743" w:rsidP="007D5743">
      <w:pPr>
        <w:pStyle w:val="FootnoteText"/>
        <w:ind w:left="357" w:hanging="357"/>
      </w:pPr>
      <w:r w:rsidRPr="008020CE">
        <w:rPr>
          <w:rStyle w:val="FootnoteReference"/>
        </w:rPr>
        <w:footnoteRef/>
      </w:r>
      <w:r w:rsidRPr="009E4E80">
        <w:rPr>
          <w:lang w:val="en-IE"/>
        </w:rPr>
        <w:t xml:space="preserve"> </w:t>
      </w:r>
      <w:r w:rsidRPr="009E4E80">
        <w:rPr>
          <w:lang w:val="en-IE"/>
        </w:rPr>
        <w:tab/>
      </w:r>
      <w:r w:rsidR="00D45D15" w:rsidRPr="009E4E80">
        <w:rPr>
          <w:lang w:val="en-IE"/>
        </w:rPr>
        <w:t>Ibid</w:t>
      </w:r>
      <w:r w:rsidRPr="009E4E80">
        <w:rPr>
          <w:lang w:val="en-IE"/>
        </w:rPr>
        <w:t xml:space="preserve">, para. </w:t>
      </w:r>
      <w:r w:rsidRPr="008020CE">
        <w:t>58.</w:t>
      </w:r>
    </w:p>
  </w:footnote>
  <w:footnote w:id="136">
    <w:p w14:paraId="1FC6524B" w14:textId="5B598EEF" w:rsidR="00214199" w:rsidRPr="00214199" w:rsidRDefault="00214199" w:rsidP="00214199">
      <w:pPr>
        <w:pStyle w:val="FootnoteText"/>
        <w:ind w:left="357" w:hanging="357"/>
      </w:pPr>
      <w:r>
        <w:rPr>
          <w:rStyle w:val="FootnoteReference"/>
        </w:rPr>
        <w:footnoteRef/>
      </w:r>
      <w:r>
        <w:t xml:space="preserve"> </w:t>
      </w:r>
      <w:r>
        <w:tab/>
        <w:t>COM(2023)930.</w:t>
      </w:r>
    </w:p>
  </w:footnote>
  <w:footnote w:id="137">
    <w:p w14:paraId="1FEAAF3E" w14:textId="28A15C68" w:rsidR="00D22A0B" w:rsidRPr="00D22A0B" w:rsidRDefault="00D22A0B" w:rsidP="00BA40FE">
      <w:pPr>
        <w:pStyle w:val="FootnoteText"/>
        <w:ind w:left="357" w:hanging="357"/>
        <w:jc w:val="both"/>
        <w:rPr>
          <w:lang w:val="en-IE"/>
        </w:rPr>
      </w:pPr>
      <w:r>
        <w:rPr>
          <w:rStyle w:val="FootnoteReference"/>
        </w:rPr>
        <w:footnoteRef/>
      </w:r>
      <w:r>
        <w:t xml:space="preserve"> </w:t>
      </w:r>
      <w:r w:rsidRPr="00D22A0B">
        <w:rPr>
          <w:lang w:val="en-IE"/>
        </w:rPr>
        <w:tab/>
      </w:r>
      <w:r w:rsidR="00A1529C" w:rsidRPr="00D523E9">
        <w:rPr>
          <w:lang w:val="en-IE"/>
        </w:rPr>
        <w:t xml:space="preserve">Council Directive (EU) 2019/997 of 18 June 2019 establishing an EU Emergency Travel Document and repealing Decision 96/409/CFSP </w:t>
      </w:r>
      <w:r w:rsidR="00A1529C">
        <w:rPr>
          <w:lang w:val="en-IE"/>
        </w:rPr>
        <w:t>(</w:t>
      </w:r>
      <w:r w:rsidR="00A1529C" w:rsidRPr="00D523E9">
        <w:rPr>
          <w:lang w:val="en-IE"/>
        </w:rPr>
        <w:t>OJ L 163, 20.6.2019, p. 1</w:t>
      </w:r>
      <w:r w:rsidR="00A1529C">
        <w:rPr>
          <w:lang w:val="en-IE"/>
        </w:rPr>
        <w:t xml:space="preserve">, </w:t>
      </w:r>
      <w:r w:rsidR="00A1529C">
        <w:t xml:space="preserve">ELI: </w:t>
      </w:r>
      <w:hyperlink r:id="rId56" w:tooltip="Gives access to this document through its ELI URI." w:history="1">
        <w:r w:rsidR="00A1529C">
          <w:rPr>
            <w:rStyle w:val="Hyperlink"/>
          </w:rPr>
          <w:t>http://data.europa.eu/eli/dir/2019/997/oj</w:t>
        </w:r>
      </w:hyperlink>
      <w:r w:rsidR="00A1529C">
        <w:rPr>
          <w:lang w:val="en-IE"/>
        </w:rPr>
        <w:t>)</w:t>
      </w:r>
      <w:r>
        <w:rPr>
          <w:lang w:val="en-IE"/>
        </w:rPr>
        <w:t>.</w:t>
      </w:r>
    </w:p>
  </w:footnote>
  <w:footnote w:id="138">
    <w:p w14:paraId="6B01C28D" w14:textId="5162BF12" w:rsidR="006D2BA4" w:rsidRPr="002765C7" w:rsidRDefault="006D2BA4" w:rsidP="00BA40FE">
      <w:pPr>
        <w:pStyle w:val="FootnoteText"/>
        <w:ind w:left="357" w:hanging="357"/>
        <w:jc w:val="both"/>
        <w:rPr>
          <w:lang w:val="en-IE"/>
        </w:rPr>
      </w:pPr>
      <w:r>
        <w:rPr>
          <w:rStyle w:val="FootnoteReference"/>
        </w:rPr>
        <w:footnoteRef/>
      </w:r>
      <w:r>
        <w:t xml:space="preserve"> </w:t>
      </w:r>
      <w:r w:rsidR="00CC5E19">
        <w:tab/>
      </w:r>
      <w:r w:rsidRPr="00CC5E19">
        <w:rPr>
          <w:lang w:val="en-IE"/>
        </w:rPr>
        <w:t>Commission Implementing Decision (EU) 2022/2452 of 8 December 2022 laying down additional technical specifications for the EU Emergency Travel Document established by Council Directive (EU) 2019/997</w:t>
      </w:r>
      <w:r w:rsidR="00D866DA">
        <w:rPr>
          <w:lang w:val="en-IE"/>
        </w:rPr>
        <w:t xml:space="preserve"> (</w:t>
      </w:r>
      <w:r w:rsidRPr="00FF4A2D">
        <w:rPr>
          <w:i/>
          <w:iCs/>
          <w:lang w:val="en-IE"/>
        </w:rPr>
        <w:t>OJ L 320, 14.12.2022, p. 47</w:t>
      </w:r>
      <w:r w:rsidR="00D866DA">
        <w:rPr>
          <w:lang w:val="en-IE"/>
        </w:rPr>
        <w:t xml:space="preserve">, </w:t>
      </w:r>
      <w:r w:rsidR="00D866DA">
        <w:t xml:space="preserve">ELI: </w:t>
      </w:r>
      <w:hyperlink r:id="rId57" w:tooltip="Gives access to this document through its ELI URI." w:history="1">
        <w:r w:rsidR="00D866DA">
          <w:rPr>
            <w:rStyle w:val="Hyperlink"/>
          </w:rPr>
          <w:t>http://data.europa.eu/eli/dec_impl/2022/2452/oj</w:t>
        </w:r>
      </w:hyperlink>
      <w:r w:rsidR="00D866DA">
        <w:t>)</w:t>
      </w:r>
      <w:r>
        <w:rPr>
          <w:lang w:val="en-IE"/>
        </w:rPr>
        <w:t>.</w:t>
      </w:r>
    </w:p>
  </w:footnote>
  <w:footnote w:id="139">
    <w:p w14:paraId="36F02962" w14:textId="20939892" w:rsidR="008937FD" w:rsidRPr="008937FD" w:rsidRDefault="008937FD" w:rsidP="00BA40FE">
      <w:pPr>
        <w:pStyle w:val="FootnoteText"/>
        <w:ind w:left="357" w:hanging="357"/>
        <w:jc w:val="both"/>
        <w:rPr>
          <w:lang w:val="en-IE"/>
        </w:rPr>
      </w:pPr>
      <w:r>
        <w:rPr>
          <w:rStyle w:val="FootnoteReference"/>
        </w:rPr>
        <w:footnoteRef/>
      </w:r>
      <w:r>
        <w:t xml:space="preserve"> </w:t>
      </w:r>
      <w:r>
        <w:tab/>
      </w:r>
      <w:r w:rsidRPr="008937FD">
        <w:rPr>
          <w:lang w:val="en-IE"/>
        </w:rPr>
        <w:t>S</w:t>
      </w:r>
      <w:r>
        <w:rPr>
          <w:lang w:val="en-IE"/>
        </w:rPr>
        <w:t>ee Article 55(1) TEU.</w:t>
      </w:r>
    </w:p>
  </w:footnote>
  <w:footnote w:id="140">
    <w:p w14:paraId="43A15266" w14:textId="38296074" w:rsidR="00D56E8A" w:rsidRPr="00D56E8A" w:rsidRDefault="00D56E8A" w:rsidP="00BA40FE">
      <w:pPr>
        <w:pStyle w:val="FootnoteText"/>
        <w:ind w:left="357" w:hanging="357"/>
        <w:jc w:val="both"/>
      </w:pPr>
      <w:r>
        <w:rPr>
          <w:rStyle w:val="FootnoteReference"/>
        </w:rPr>
        <w:footnoteRef/>
      </w:r>
      <w:r>
        <w:t xml:space="preserve"> </w:t>
      </w:r>
      <w:r>
        <w:tab/>
        <w:t xml:space="preserve">Data for 2022 is currently being prepared </w:t>
      </w:r>
      <w:r w:rsidR="00AD26D2">
        <w:t xml:space="preserve">for </w:t>
      </w:r>
      <w:r>
        <w:t xml:space="preserve">the draft </w:t>
      </w:r>
      <w:r w:rsidR="00AD26D2">
        <w:t>r</w:t>
      </w:r>
      <w:r>
        <w:t xml:space="preserve">eport on the outcome of the Committee on Petitions’ </w:t>
      </w:r>
      <w:r w:rsidR="00AD26D2">
        <w:t>d</w:t>
      </w:r>
      <w:r>
        <w:t xml:space="preserve">eliberations during 2022, </w:t>
      </w:r>
      <w:hyperlink r:id="rId58" w:history="1">
        <w:r w:rsidRPr="00146D43">
          <w:rPr>
            <w:rStyle w:val="Hyperlink"/>
          </w:rPr>
          <w:t>https://www.europarl.europa.eu/doceo/document/PETI-PR-749894_EN.pdf</w:t>
        </w:r>
      </w:hyperlink>
      <w:r>
        <w:t xml:space="preserve"> .</w:t>
      </w:r>
    </w:p>
  </w:footnote>
  <w:footnote w:id="141">
    <w:p w14:paraId="403CEBF8" w14:textId="26660CEC" w:rsidR="009C6034" w:rsidRPr="004F17FE" w:rsidRDefault="009C6034" w:rsidP="009C6034">
      <w:pPr>
        <w:pStyle w:val="FootnoteText"/>
        <w:ind w:left="357" w:hanging="357"/>
      </w:pPr>
      <w:r>
        <w:rPr>
          <w:rStyle w:val="FootnoteReference"/>
        </w:rPr>
        <w:footnoteRef/>
      </w:r>
      <w:r>
        <w:t xml:space="preserve"> </w:t>
      </w:r>
      <w:r>
        <w:tab/>
        <w:t xml:space="preserve">Report on the outcome of the Committee on Petitions’ deliberations </w:t>
      </w:r>
      <w:r w:rsidR="00AD26D2">
        <w:t>in</w:t>
      </w:r>
      <w:r>
        <w:t xml:space="preserve"> 2021, 10.11.2022, </w:t>
      </w:r>
      <w:bookmarkStart w:id="88" w:name="_Hlk144745587"/>
      <w:r w:rsidRPr="004F17FE">
        <w:rPr>
          <w:lang w:val="en-US"/>
        </w:rPr>
        <w:fldChar w:fldCharType="begin"/>
      </w:r>
      <w:r w:rsidRPr="004F17FE">
        <w:rPr>
          <w:lang w:val="en-US"/>
        </w:rPr>
        <w:instrText xml:space="preserve"> HYPERLINK "https://oeil.secure.europarl.europa.eu/oeil/popups/ficheprocedure.do?lang=en&amp;reference=2022/2024(INI)" </w:instrText>
      </w:r>
      <w:r w:rsidRPr="004F17FE">
        <w:rPr>
          <w:lang w:val="en-US"/>
        </w:rPr>
        <w:fldChar w:fldCharType="separate"/>
      </w:r>
      <w:r w:rsidRPr="004F17FE">
        <w:rPr>
          <w:rStyle w:val="Hyperlink"/>
          <w:lang w:val="en-US"/>
        </w:rPr>
        <w:t>2022/2024(INI)</w:t>
      </w:r>
      <w:r w:rsidRPr="004F17FE">
        <w:fldChar w:fldCharType="end"/>
      </w:r>
      <w:r>
        <w:rPr>
          <w:lang w:val="en-US"/>
        </w:rPr>
        <w:t>.</w:t>
      </w:r>
      <w:bookmarkEnd w:id="88"/>
    </w:p>
  </w:footnote>
  <w:footnote w:id="142">
    <w:p w14:paraId="7893C281" w14:textId="777B2604" w:rsidR="009C6034" w:rsidRPr="004F17FE" w:rsidRDefault="009C6034" w:rsidP="009C6034">
      <w:pPr>
        <w:pStyle w:val="FootnoteText"/>
        <w:ind w:left="357" w:hanging="357"/>
      </w:pPr>
      <w:r>
        <w:rPr>
          <w:rStyle w:val="FootnoteReference"/>
        </w:rPr>
        <w:footnoteRef/>
      </w:r>
      <w:r>
        <w:t xml:space="preserve"> </w:t>
      </w:r>
      <w:r>
        <w:tab/>
        <w:t>Ibid.</w:t>
      </w:r>
    </w:p>
  </w:footnote>
  <w:footnote w:id="143">
    <w:p w14:paraId="552C2BB6" w14:textId="50921EE6" w:rsidR="009C6034" w:rsidRPr="009C6034" w:rsidRDefault="009C6034" w:rsidP="009C6034">
      <w:pPr>
        <w:pStyle w:val="FootnoteText"/>
        <w:ind w:left="357" w:hanging="357"/>
      </w:pPr>
      <w:r>
        <w:rPr>
          <w:rStyle w:val="FootnoteReference"/>
        </w:rPr>
        <w:footnoteRef/>
      </w:r>
      <w:r>
        <w:t xml:space="preserve"> </w:t>
      </w:r>
      <w:r>
        <w:tab/>
        <w:t>Ibid.</w:t>
      </w:r>
    </w:p>
  </w:footnote>
  <w:footnote w:id="144">
    <w:p w14:paraId="065FF589" w14:textId="77777777" w:rsidR="00473996" w:rsidRPr="005132E8" w:rsidRDefault="00473996" w:rsidP="00473996">
      <w:pPr>
        <w:pStyle w:val="FootnoteText"/>
        <w:ind w:left="357" w:hanging="357"/>
      </w:pPr>
      <w:r>
        <w:rPr>
          <w:rStyle w:val="FootnoteReference"/>
        </w:rPr>
        <w:footnoteRef/>
      </w:r>
      <w:r>
        <w:t xml:space="preserve"> </w:t>
      </w:r>
      <w:r>
        <w:tab/>
        <w:t>Data includes petitions received until end of August 2023.</w:t>
      </w:r>
    </w:p>
  </w:footnote>
  <w:footnote w:id="145">
    <w:p w14:paraId="4B025B40" w14:textId="7755EABB" w:rsidR="00403550" w:rsidRPr="00403550" w:rsidRDefault="00403550" w:rsidP="00403550">
      <w:pPr>
        <w:pStyle w:val="FootnoteText"/>
        <w:ind w:left="357" w:hanging="357"/>
      </w:pPr>
      <w:r>
        <w:rPr>
          <w:rStyle w:val="FootnoteReference"/>
        </w:rPr>
        <w:footnoteRef/>
      </w:r>
      <w:r>
        <w:t xml:space="preserve"> </w:t>
      </w:r>
      <w:r>
        <w:tab/>
        <w:t>Numbers are based on the European Ombudsman Annual Report 2020 (</w:t>
      </w:r>
      <w:hyperlink r:id="rId59" w:history="1">
        <w:r w:rsidRPr="00BD4E43">
          <w:rPr>
            <w:rStyle w:val="Hyperlink"/>
          </w:rPr>
          <w:t>https://www.ombudsman.europa.eu/en/doc/annual-report/en/141317</w:t>
        </w:r>
      </w:hyperlink>
      <w:r>
        <w:t>), Annual Report 2021 (</w:t>
      </w:r>
      <w:hyperlink r:id="rId60" w:history="1">
        <w:r w:rsidRPr="00BD4E43">
          <w:rPr>
            <w:rStyle w:val="Hyperlink"/>
          </w:rPr>
          <w:t>https://www.ombudsman.europa.eu/en/doc/annual-report/en/156017</w:t>
        </w:r>
      </w:hyperlink>
      <w:r>
        <w:t>), Annual Report 2022 (</w:t>
      </w:r>
      <w:hyperlink r:id="rId61" w:history="1">
        <w:r w:rsidRPr="00BD4E43">
          <w:rPr>
            <w:rStyle w:val="Hyperlink"/>
          </w:rPr>
          <w:t>https://www.ombudsman.europa.eu/en/doc/annual-report/en/167855</w:t>
        </w:r>
      </w:hyperlink>
      <w:r>
        <w:t xml:space="preserve">). </w:t>
      </w:r>
    </w:p>
  </w:footnote>
  <w:footnote w:id="146">
    <w:p w14:paraId="01CA395A" w14:textId="19A05631" w:rsidR="006C65ED" w:rsidRPr="006C65ED" w:rsidRDefault="006C65ED" w:rsidP="006C65ED">
      <w:pPr>
        <w:pStyle w:val="FootnoteText"/>
        <w:ind w:left="357" w:hanging="357"/>
      </w:pPr>
      <w:r>
        <w:rPr>
          <w:rStyle w:val="FootnoteReference"/>
        </w:rPr>
        <w:footnoteRef/>
      </w:r>
      <w:r>
        <w:t xml:space="preserve"> </w:t>
      </w:r>
      <w:r>
        <w:tab/>
        <w:t>Ibid.</w:t>
      </w:r>
    </w:p>
  </w:footnote>
  <w:footnote w:id="147">
    <w:p w14:paraId="0E354372" w14:textId="50C3BB90" w:rsidR="00D22A0B" w:rsidRPr="00D22A0B" w:rsidRDefault="00D22A0B" w:rsidP="00860BBE">
      <w:pPr>
        <w:pStyle w:val="FootnoteText"/>
        <w:ind w:left="357" w:hanging="357"/>
      </w:pPr>
      <w:r>
        <w:rPr>
          <w:rStyle w:val="FootnoteReference"/>
        </w:rPr>
        <w:footnoteRef/>
      </w:r>
      <w:r>
        <w:t xml:space="preserve"> </w:t>
      </w:r>
      <w:r>
        <w:tab/>
        <w:t>Regulation (EU) 211/2011 of the European Parliament and of the Council of 16 February 2011 on the citizens’ initiative</w:t>
      </w:r>
      <w:r w:rsidR="00860BBE">
        <w:t xml:space="preserve">, </w:t>
      </w:r>
      <w:r w:rsidR="00860BBE" w:rsidRPr="00860BBE">
        <w:rPr>
          <w:i/>
          <w:iCs/>
        </w:rPr>
        <w:t>OJ L 65, 11.3.2011, p. 31-52</w:t>
      </w:r>
      <w:r w:rsidR="00860BBE">
        <w:t>.</w:t>
      </w:r>
    </w:p>
  </w:footnote>
  <w:footnote w:id="148">
    <w:p w14:paraId="227CFC8D" w14:textId="39C44FB2" w:rsidR="00D35127" w:rsidRPr="00D35127" w:rsidRDefault="00D35127" w:rsidP="008937FD">
      <w:pPr>
        <w:pStyle w:val="FootnoteText"/>
        <w:ind w:left="357" w:hanging="357"/>
        <w:rPr>
          <w:lang w:val="en-IE"/>
        </w:rPr>
      </w:pPr>
      <w:r>
        <w:rPr>
          <w:rStyle w:val="FootnoteReference"/>
        </w:rPr>
        <w:footnoteRef/>
      </w:r>
      <w:r>
        <w:t xml:space="preserve"> </w:t>
      </w:r>
      <w:r w:rsidR="008937FD">
        <w:tab/>
      </w:r>
      <w:r w:rsidR="00860BBE">
        <w:rPr>
          <w:lang w:val="en-IE"/>
        </w:rPr>
        <w:t xml:space="preserve">Regulation (EU) 2019/788 of the European Parliament and of the Council of 17 April 2019 on the European Citizens’ Initiative, </w:t>
      </w:r>
      <w:r w:rsidR="00860BBE" w:rsidRPr="00860BBE">
        <w:rPr>
          <w:i/>
          <w:iCs/>
          <w:lang w:val="en-IE"/>
        </w:rPr>
        <w:t>OJ L 130, 17.5.2018, p.55</w:t>
      </w:r>
      <w:r w:rsidR="00860BBE">
        <w:rPr>
          <w:lang w:val="en-IE"/>
        </w:rPr>
        <w:t>.</w:t>
      </w:r>
    </w:p>
  </w:footnote>
  <w:footnote w:id="149">
    <w:p w14:paraId="01B79D81" w14:textId="7B0F40B3" w:rsidR="00D35127" w:rsidRPr="00D35127" w:rsidRDefault="00D35127" w:rsidP="00DB3968">
      <w:pPr>
        <w:pStyle w:val="FootnoteText"/>
        <w:ind w:left="357" w:hanging="357"/>
        <w:rPr>
          <w:lang w:val="en-IE"/>
        </w:rPr>
      </w:pPr>
      <w:r>
        <w:rPr>
          <w:rStyle w:val="FootnoteReference"/>
        </w:rPr>
        <w:footnoteRef/>
      </w:r>
      <w:r>
        <w:t xml:space="preserve"> </w:t>
      </w:r>
      <w:r w:rsidR="00DB3968">
        <w:tab/>
      </w:r>
      <w:hyperlink r:id="rId62" w:history="1">
        <w:r w:rsidR="00860BBE" w:rsidRPr="009C3B88">
          <w:rPr>
            <w:rStyle w:val="Hyperlink"/>
            <w:lang w:val="en-IE"/>
          </w:rPr>
          <w:t>https://ec.europa.eu/commission/presscorner/detail/en/mex_20_1359</w:t>
        </w:r>
      </w:hyperlink>
      <w:r w:rsidR="00860BBE">
        <w:rPr>
          <w:lang w:val="en-IE"/>
        </w:rPr>
        <w:t xml:space="preserve"> </w:t>
      </w:r>
    </w:p>
  </w:footnote>
  <w:footnote w:id="150">
    <w:p w14:paraId="64E5E64A" w14:textId="2793091A" w:rsidR="0023008D" w:rsidRPr="0023008D" w:rsidRDefault="0023008D" w:rsidP="0023008D">
      <w:pPr>
        <w:pStyle w:val="FootnoteText"/>
        <w:ind w:left="357" w:hanging="357"/>
      </w:pPr>
      <w:r>
        <w:rPr>
          <w:rStyle w:val="FootnoteReference"/>
        </w:rPr>
        <w:footnoteRef/>
      </w:r>
      <w:r>
        <w:t xml:space="preserve"> </w:t>
      </w:r>
      <w:r>
        <w:tab/>
        <w:t>Only one since 2020.</w:t>
      </w:r>
    </w:p>
  </w:footnote>
  <w:footnote w:id="151">
    <w:p w14:paraId="747B1192" w14:textId="4CA3D4B6" w:rsidR="0023008D" w:rsidRPr="0023008D" w:rsidRDefault="0023008D" w:rsidP="002F4FFC">
      <w:pPr>
        <w:pStyle w:val="FootnoteText"/>
        <w:ind w:left="357" w:hanging="357"/>
        <w:jc w:val="both"/>
        <w:rPr>
          <w:lang w:val="en-IE"/>
        </w:rPr>
      </w:pPr>
      <w:r>
        <w:rPr>
          <w:rStyle w:val="FootnoteReference"/>
        </w:rPr>
        <w:footnoteRef/>
      </w:r>
      <w:r w:rsidR="4FAC546D">
        <w:t xml:space="preserve"> </w:t>
      </w:r>
      <w:r>
        <w:tab/>
      </w:r>
      <w:r w:rsidR="4FAC546D" w:rsidRPr="4FAC546D">
        <w:rPr>
          <w:i/>
          <w:iCs/>
          <w:lang w:val="en-IE"/>
        </w:rPr>
        <w:t>Case T-789/19</w:t>
      </w:r>
      <w:r w:rsidR="4FAC546D">
        <w:rPr>
          <w:lang w:val="en-IE"/>
        </w:rPr>
        <w:t xml:space="preserve"> (Tom Moerenhout and Others v. European Commission) in which the General Court annulled the Commission’s </w:t>
      </w:r>
      <w:r w:rsidR="007977D7">
        <w:rPr>
          <w:lang w:val="en-IE"/>
        </w:rPr>
        <w:t>d</w:t>
      </w:r>
      <w:r w:rsidR="4FAC546D">
        <w:rPr>
          <w:lang w:val="en-IE"/>
        </w:rPr>
        <w:t xml:space="preserve">ecision to refuse registration, after which the initiative was registered on 8 September 2021; </w:t>
      </w:r>
      <w:r w:rsidR="4FAC546D" w:rsidRPr="4FAC546D">
        <w:rPr>
          <w:i/>
          <w:iCs/>
          <w:lang w:val="en-IE"/>
        </w:rPr>
        <w:t>Case T-611/19</w:t>
      </w:r>
      <w:r w:rsidR="4FAC546D">
        <w:rPr>
          <w:lang w:val="en-IE"/>
        </w:rPr>
        <w:t xml:space="preserve"> (Iniciativa ‘Derecho de la UE), in which in the General Court upheld the Commission’s </w:t>
      </w:r>
      <w:r w:rsidR="007977D7">
        <w:rPr>
          <w:lang w:val="en-IE"/>
        </w:rPr>
        <w:t>d</w:t>
      </w:r>
      <w:r w:rsidR="4FAC546D">
        <w:rPr>
          <w:lang w:val="en-IE"/>
        </w:rPr>
        <w:t xml:space="preserve">ecision to refuse registration. In the case </w:t>
      </w:r>
      <w:r w:rsidR="4FAC546D" w:rsidRPr="4FAC546D">
        <w:rPr>
          <w:i/>
          <w:iCs/>
          <w:lang w:val="en-IE"/>
        </w:rPr>
        <w:t>T-495/19</w:t>
      </w:r>
      <w:r w:rsidR="4FAC546D">
        <w:rPr>
          <w:lang w:val="en-IE"/>
        </w:rPr>
        <w:t xml:space="preserve"> (Romania v. European Commission), Romania challenged the Commission’s decision to register the initiative </w:t>
      </w:r>
      <w:r w:rsidR="007977D7">
        <w:rPr>
          <w:lang w:val="en-IE"/>
        </w:rPr>
        <w:t>‘</w:t>
      </w:r>
      <w:r w:rsidR="4FAC546D">
        <w:rPr>
          <w:lang w:val="en-IE"/>
        </w:rPr>
        <w:t>Cohesion Policy</w:t>
      </w:r>
      <w:r w:rsidR="007977D7">
        <w:rPr>
          <w:lang w:val="en-IE"/>
        </w:rPr>
        <w:t>’</w:t>
      </w:r>
      <w:r w:rsidR="4FAC546D">
        <w:rPr>
          <w:lang w:val="en-IE"/>
        </w:rPr>
        <w:t xml:space="preserve">. This decision was upheld by the General Court. The case is now under appeal (C-54/22). Romania also challenged the registration decision of the initiative </w:t>
      </w:r>
      <w:r w:rsidR="007977D7">
        <w:rPr>
          <w:lang w:val="en-IE"/>
        </w:rPr>
        <w:t>‘</w:t>
      </w:r>
      <w:r w:rsidR="4FAC546D">
        <w:rPr>
          <w:lang w:val="en-IE"/>
        </w:rPr>
        <w:t>Minority SafePack – one million signatures for diversity in Europe</w:t>
      </w:r>
      <w:r w:rsidR="007977D7">
        <w:rPr>
          <w:lang w:val="en-IE"/>
        </w:rPr>
        <w:t>’</w:t>
      </w:r>
      <w:r w:rsidR="4FAC546D">
        <w:rPr>
          <w:lang w:val="en-IE"/>
        </w:rPr>
        <w:t>, which was upheld in two instances (T-391/17 and C-899/19).</w:t>
      </w:r>
    </w:p>
  </w:footnote>
  <w:footnote w:id="152">
    <w:p w14:paraId="0E54C9CC" w14:textId="3A30B7EB" w:rsidR="002F4FFC" w:rsidRPr="0023008D" w:rsidRDefault="0023008D" w:rsidP="002F4FFC">
      <w:pPr>
        <w:pStyle w:val="FootnoteText"/>
        <w:ind w:left="357" w:hanging="357"/>
        <w:jc w:val="both"/>
        <w:rPr>
          <w:lang w:val="en-IE"/>
        </w:rPr>
      </w:pPr>
      <w:r>
        <w:rPr>
          <w:rStyle w:val="FootnoteReference"/>
        </w:rPr>
        <w:footnoteRef/>
      </w:r>
      <w:r>
        <w:t xml:space="preserve"> </w:t>
      </w:r>
      <w:r>
        <w:tab/>
      </w:r>
      <w:r w:rsidR="002F4FFC" w:rsidRPr="0046552D">
        <w:t xml:space="preserve">Judgment of the General Court (Eighth Chamber) of 9 November 2022, Citizens' Committee of the European Citizens' Initiative </w:t>
      </w:r>
      <w:r w:rsidR="007977D7">
        <w:t>‘</w:t>
      </w:r>
      <w:r w:rsidR="002F4FFC" w:rsidRPr="0046552D">
        <w:t>Minority SafePack – one million signatures for diversity in Europe</w:t>
      </w:r>
      <w:r w:rsidR="007977D7">
        <w:t>’</w:t>
      </w:r>
      <w:r w:rsidR="002F4FFC" w:rsidRPr="0046552D">
        <w:t xml:space="preserve"> v European Commission, </w:t>
      </w:r>
      <w:hyperlink r:id="rId63" w:history="1">
        <w:r w:rsidR="002F4FFC" w:rsidRPr="001A7448">
          <w:rPr>
            <w:rStyle w:val="Hyperlink"/>
          </w:rPr>
          <w:t>T-158/21</w:t>
        </w:r>
      </w:hyperlink>
      <w:r w:rsidR="002F4FFC" w:rsidRPr="0046552D">
        <w:t>, under appeal, EU:T:2022:696</w:t>
      </w:r>
      <w:r w:rsidR="002F4FFC">
        <w:t>.</w:t>
      </w:r>
    </w:p>
    <w:p w14:paraId="287C8ABD" w14:textId="65CE4B1C" w:rsidR="0023008D" w:rsidRPr="0023008D" w:rsidRDefault="0023008D" w:rsidP="0023008D">
      <w:pPr>
        <w:pStyle w:val="FootnoteText"/>
        <w:ind w:left="357" w:hanging="357"/>
        <w:rPr>
          <w:lang w:val="en-I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68CC0F" w14:textId="77777777" w:rsidR="00E75274" w:rsidRPr="00E75274" w:rsidRDefault="00E75274" w:rsidP="00E752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A66197" w14:textId="77777777" w:rsidR="00E75274" w:rsidRPr="00E75274" w:rsidRDefault="00E75274" w:rsidP="00E75274">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F7E4B2" w14:textId="77777777" w:rsidR="00E75274" w:rsidRPr="00E75274" w:rsidRDefault="00E75274" w:rsidP="00E75274">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0A526" w14:textId="77777777" w:rsidR="00B0133B" w:rsidRDefault="00B0133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1C0785" w14:textId="77777777" w:rsidR="00B0133B" w:rsidRDefault="00B0133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DAAC92" w14:textId="77777777" w:rsidR="00B0133B" w:rsidRDefault="00B013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B101B"/>
    <w:multiLevelType w:val="hybridMultilevel"/>
    <w:tmpl w:val="753CF30C"/>
    <w:lvl w:ilvl="0" w:tplc="18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 w15:restartNumberingAfterBreak="0">
    <w:nsid w:val="0FF56C7A"/>
    <w:multiLevelType w:val="hybridMultilevel"/>
    <w:tmpl w:val="4B0678E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0F77F2C"/>
    <w:multiLevelType w:val="hybridMultilevel"/>
    <w:tmpl w:val="02BE86CA"/>
    <w:lvl w:ilvl="0" w:tplc="1F961EDC">
      <w:start w:val="1"/>
      <w:numFmt w:val="bullet"/>
      <w:lvlText w:val=""/>
      <w:lvlJc w:val="left"/>
      <w:pPr>
        <w:tabs>
          <w:tab w:val="num" w:pos="284"/>
        </w:tabs>
        <w:ind w:left="284" w:hanging="284"/>
      </w:pPr>
      <w:rPr>
        <w:rFonts w:ascii="Symbol" w:hAnsi="Symbol" w:hint="default"/>
        <w:b w:val="0"/>
        <w:i w:val="0"/>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CA7E4E"/>
    <w:multiLevelType w:val="hybridMultilevel"/>
    <w:tmpl w:val="0592354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4" w15:restartNumberingAfterBreak="0">
    <w:nsid w:val="181511CC"/>
    <w:multiLevelType w:val="hybridMultilevel"/>
    <w:tmpl w:val="A49A4DA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5" w15:restartNumberingAfterBreak="0">
    <w:nsid w:val="27AE6DC0"/>
    <w:multiLevelType w:val="multilevel"/>
    <w:tmpl w:val="449A158E"/>
    <w:lvl w:ilvl="0">
      <w:start w:val="1"/>
      <w:numFmt w:val="decimal"/>
      <w:pStyle w:val="Heading1"/>
      <w:lvlText w:val="%1."/>
      <w:lvlJc w:val="left"/>
      <w:pPr>
        <w:ind w:left="1294" w:hanging="432"/>
      </w:pPr>
      <w:rPr>
        <w:rFonts w:hint="default"/>
      </w:rPr>
    </w:lvl>
    <w:lvl w:ilvl="1">
      <w:start w:val="1"/>
      <w:numFmt w:val="decimal"/>
      <w:pStyle w:val="Heading2"/>
      <w:lvlText w:val="%1.%2."/>
      <w:lvlJc w:val="left"/>
      <w:pPr>
        <w:ind w:left="3978" w:hanging="576"/>
      </w:pPr>
      <w:rPr>
        <w:rFonts w:hint="default"/>
      </w:rPr>
    </w:lvl>
    <w:lvl w:ilvl="2">
      <w:start w:val="1"/>
      <w:numFmt w:val="decimal"/>
      <w:pStyle w:val="Heading3"/>
      <w:lvlText w:val="%1.%2.%3."/>
      <w:lvlJc w:val="left"/>
      <w:pPr>
        <w:ind w:left="3850" w:hanging="720"/>
      </w:pPr>
      <w:rPr>
        <w:rFonts w:hint="default"/>
      </w:rPr>
    </w:lvl>
    <w:lvl w:ilvl="3">
      <w:start w:val="1"/>
      <w:numFmt w:val="decimal"/>
      <w:pStyle w:val="Heading4"/>
      <w:lvlText w:val="%1.%2.%3.%4."/>
      <w:lvlJc w:val="left"/>
      <w:pPr>
        <w:ind w:left="1726" w:hanging="864"/>
      </w:pPr>
      <w:rPr>
        <w:rFonts w:hint="default"/>
      </w:rPr>
    </w:lvl>
    <w:lvl w:ilvl="4">
      <w:start w:val="1"/>
      <w:numFmt w:val="decimal"/>
      <w:pStyle w:val="Heading5"/>
      <w:lvlText w:val="%1.%2.%3.%4.%5"/>
      <w:lvlJc w:val="left"/>
      <w:pPr>
        <w:ind w:left="1870" w:hanging="1008"/>
      </w:pPr>
      <w:rPr>
        <w:rFonts w:hint="default"/>
      </w:rPr>
    </w:lvl>
    <w:lvl w:ilvl="5">
      <w:start w:val="1"/>
      <w:numFmt w:val="decimal"/>
      <w:pStyle w:val="Heading6"/>
      <w:lvlText w:val="%1.%2.%3.%4.%5.%6"/>
      <w:lvlJc w:val="left"/>
      <w:pPr>
        <w:ind w:left="2014" w:hanging="1152"/>
      </w:pPr>
      <w:rPr>
        <w:rFonts w:hint="default"/>
      </w:rPr>
    </w:lvl>
    <w:lvl w:ilvl="6">
      <w:start w:val="1"/>
      <w:numFmt w:val="decimal"/>
      <w:pStyle w:val="Heading7"/>
      <w:lvlText w:val="%1.%2.%3.%4.%5.%6.%7"/>
      <w:lvlJc w:val="left"/>
      <w:pPr>
        <w:ind w:left="2158" w:hanging="1296"/>
      </w:pPr>
      <w:rPr>
        <w:rFonts w:hint="default"/>
      </w:rPr>
    </w:lvl>
    <w:lvl w:ilvl="7">
      <w:start w:val="1"/>
      <w:numFmt w:val="decimal"/>
      <w:pStyle w:val="Heading8"/>
      <w:lvlText w:val="%1.%2.%3.%4.%5.%6.%7.%8"/>
      <w:lvlJc w:val="left"/>
      <w:pPr>
        <w:ind w:left="2302" w:hanging="1440"/>
      </w:pPr>
      <w:rPr>
        <w:rFonts w:hint="default"/>
      </w:rPr>
    </w:lvl>
    <w:lvl w:ilvl="8">
      <w:start w:val="1"/>
      <w:numFmt w:val="decimal"/>
      <w:pStyle w:val="Heading9"/>
      <w:lvlText w:val="%1.%2.%3.%4.%5.%6.%7.%8.%9"/>
      <w:lvlJc w:val="left"/>
      <w:pPr>
        <w:ind w:left="2446" w:hanging="1584"/>
      </w:pPr>
      <w:rPr>
        <w:rFonts w:hint="default"/>
      </w:rPr>
    </w:lvl>
  </w:abstractNum>
  <w:abstractNum w:abstractNumId="6" w15:restartNumberingAfterBreak="0">
    <w:nsid w:val="367E368F"/>
    <w:multiLevelType w:val="hybridMultilevel"/>
    <w:tmpl w:val="B65A3D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9D42D01"/>
    <w:multiLevelType w:val="hybridMultilevel"/>
    <w:tmpl w:val="9F949B58"/>
    <w:lvl w:ilvl="0" w:tplc="EC727A88">
      <w:start w:val="27"/>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B014F99"/>
    <w:multiLevelType w:val="hybridMultilevel"/>
    <w:tmpl w:val="B2EEC60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3C7C0EC6"/>
    <w:multiLevelType w:val="hybridMultilevel"/>
    <w:tmpl w:val="FB9E9990"/>
    <w:lvl w:ilvl="0" w:tplc="1809000F">
      <w:start w:val="1"/>
      <w:numFmt w:val="decimal"/>
      <w:lvlText w:val="%1."/>
      <w:lvlJc w:val="left"/>
      <w:pPr>
        <w:ind w:left="720" w:hanging="360"/>
      </w:pPr>
      <w:rPr>
        <w:rFonts w:hint="default"/>
      </w:rPr>
    </w:lvl>
    <w:lvl w:ilvl="1" w:tplc="18090001">
      <w:start w:val="1"/>
      <w:numFmt w:val="bullet"/>
      <w:lvlText w:val=""/>
      <w:lvlJc w:val="left"/>
      <w:pPr>
        <w:ind w:left="1440" w:hanging="360"/>
      </w:pPr>
      <w:rPr>
        <w:rFonts w:ascii="Symbol" w:hAnsi="Symbol" w:hint="default"/>
      </w:rPr>
    </w:lvl>
    <w:lvl w:ilvl="2" w:tplc="18090003">
      <w:start w:val="1"/>
      <w:numFmt w:val="bullet"/>
      <w:lvlText w:val="o"/>
      <w:lvlJc w:val="left"/>
      <w:pPr>
        <w:ind w:left="2160" w:hanging="360"/>
      </w:pPr>
      <w:rPr>
        <w:rFonts w:ascii="Courier New" w:hAnsi="Courier New" w:cs="Courier New" w:hint="default"/>
      </w:rPr>
    </w:lvl>
    <w:lvl w:ilvl="3" w:tplc="18090005">
      <w:start w:val="1"/>
      <w:numFmt w:val="bullet"/>
      <w:lvlText w:val=""/>
      <w:lvlJc w:val="left"/>
      <w:pPr>
        <w:ind w:left="2880" w:hanging="360"/>
      </w:pPr>
      <w:rPr>
        <w:rFonts w:ascii="Wingdings" w:hAnsi="Wingdings"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3D8A26FB"/>
    <w:multiLevelType w:val="hybridMultilevel"/>
    <w:tmpl w:val="256629A4"/>
    <w:lvl w:ilvl="0" w:tplc="D8609B28">
      <w:start w:val="1"/>
      <w:numFmt w:val="bullet"/>
      <w:lvlText w:val=""/>
      <w:lvlJc w:val="left"/>
      <w:pPr>
        <w:ind w:left="720" w:hanging="360"/>
      </w:pPr>
      <w:rPr>
        <w:rFonts w:ascii="Symbol" w:hAnsi="Symbol"/>
      </w:rPr>
    </w:lvl>
    <w:lvl w:ilvl="1" w:tplc="F61E680A">
      <w:start w:val="1"/>
      <w:numFmt w:val="bullet"/>
      <w:lvlText w:val=""/>
      <w:lvlJc w:val="left"/>
      <w:pPr>
        <w:ind w:left="720" w:hanging="360"/>
      </w:pPr>
      <w:rPr>
        <w:rFonts w:ascii="Symbol" w:hAnsi="Symbol"/>
      </w:rPr>
    </w:lvl>
    <w:lvl w:ilvl="2" w:tplc="DAE6273C">
      <w:start w:val="1"/>
      <w:numFmt w:val="bullet"/>
      <w:lvlText w:val=""/>
      <w:lvlJc w:val="left"/>
      <w:pPr>
        <w:ind w:left="720" w:hanging="360"/>
      </w:pPr>
      <w:rPr>
        <w:rFonts w:ascii="Symbol" w:hAnsi="Symbol"/>
      </w:rPr>
    </w:lvl>
    <w:lvl w:ilvl="3" w:tplc="85E88820">
      <w:start w:val="1"/>
      <w:numFmt w:val="bullet"/>
      <w:lvlText w:val=""/>
      <w:lvlJc w:val="left"/>
      <w:pPr>
        <w:ind w:left="720" w:hanging="360"/>
      </w:pPr>
      <w:rPr>
        <w:rFonts w:ascii="Symbol" w:hAnsi="Symbol"/>
      </w:rPr>
    </w:lvl>
    <w:lvl w:ilvl="4" w:tplc="AB1039D6">
      <w:start w:val="1"/>
      <w:numFmt w:val="bullet"/>
      <w:lvlText w:val=""/>
      <w:lvlJc w:val="left"/>
      <w:pPr>
        <w:ind w:left="720" w:hanging="360"/>
      </w:pPr>
      <w:rPr>
        <w:rFonts w:ascii="Symbol" w:hAnsi="Symbol"/>
      </w:rPr>
    </w:lvl>
    <w:lvl w:ilvl="5" w:tplc="23E0D214">
      <w:start w:val="1"/>
      <w:numFmt w:val="bullet"/>
      <w:lvlText w:val=""/>
      <w:lvlJc w:val="left"/>
      <w:pPr>
        <w:ind w:left="720" w:hanging="360"/>
      </w:pPr>
      <w:rPr>
        <w:rFonts w:ascii="Symbol" w:hAnsi="Symbol"/>
      </w:rPr>
    </w:lvl>
    <w:lvl w:ilvl="6" w:tplc="FEACB582">
      <w:start w:val="1"/>
      <w:numFmt w:val="bullet"/>
      <w:lvlText w:val=""/>
      <w:lvlJc w:val="left"/>
      <w:pPr>
        <w:ind w:left="720" w:hanging="360"/>
      </w:pPr>
      <w:rPr>
        <w:rFonts w:ascii="Symbol" w:hAnsi="Symbol"/>
      </w:rPr>
    </w:lvl>
    <w:lvl w:ilvl="7" w:tplc="F3802D52">
      <w:start w:val="1"/>
      <w:numFmt w:val="bullet"/>
      <w:lvlText w:val=""/>
      <w:lvlJc w:val="left"/>
      <w:pPr>
        <w:ind w:left="720" w:hanging="360"/>
      </w:pPr>
      <w:rPr>
        <w:rFonts w:ascii="Symbol" w:hAnsi="Symbol"/>
      </w:rPr>
    </w:lvl>
    <w:lvl w:ilvl="8" w:tplc="06041458">
      <w:start w:val="1"/>
      <w:numFmt w:val="bullet"/>
      <w:lvlText w:val=""/>
      <w:lvlJc w:val="left"/>
      <w:pPr>
        <w:ind w:left="720" w:hanging="360"/>
      </w:pPr>
      <w:rPr>
        <w:rFonts w:ascii="Symbol" w:hAnsi="Symbol"/>
      </w:rPr>
    </w:lvl>
  </w:abstractNum>
  <w:abstractNum w:abstractNumId="11" w15:restartNumberingAfterBreak="0">
    <w:nsid w:val="48F94A0D"/>
    <w:multiLevelType w:val="hybridMultilevel"/>
    <w:tmpl w:val="15BA062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2" w15:restartNumberingAfterBreak="0">
    <w:nsid w:val="49772B86"/>
    <w:multiLevelType w:val="hybridMultilevel"/>
    <w:tmpl w:val="D95EA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62453651"/>
    <w:multiLevelType w:val="hybridMultilevel"/>
    <w:tmpl w:val="96F82EE2"/>
    <w:lvl w:ilvl="0" w:tplc="E6A62C10">
      <w:start w:val="1"/>
      <w:numFmt w:val="bullet"/>
      <w:lvlText w:val=""/>
      <w:lvlJc w:val="left"/>
      <w:pPr>
        <w:ind w:left="360" w:hanging="360"/>
      </w:pPr>
      <w:rPr>
        <w:rFonts w:ascii="Symbol" w:hAnsi="Symbol" w:hint="default"/>
        <w:color w:val="auto"/>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4" w15:restartNumberingAfterBreak="0">
    <w:nsid w:val="63283511"/>
    <w:multiLevelType w:val="hybridMultilevel"/>
    <w:tmpl w:val="0A76D4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68B83AA6"/>
    <w:multiLevelType w:val="hybridMultilevel"/>
    <w:tmpl w:val="6CC8C2D4"/>
    <w:lvl w:ilvl="0" w:tplc="18090001">
      <w:start w:val="1"/>
      <w:numFmt w:val="bullet"/>
      <w:lvlText w:val=""/>
      <w:lvlJc w:val="left"/>
      <w:pPr>
        <w:ind w:left="780" w:hanging="360"/>
      </w:pPr>
      <w:rPr>
        <w:rFonts w:ascii="Symbol" w:hAnsi="Symbol"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16" w15:restartNumberingAfterBreak="0">
    <w:nsid w:val="6D5942F7"/>
    <w:multiLevelType w:val="hybridMultilevel"/>
    <w:tmpl w:val="65C82E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5"/>
  </w:num>
  <w:num w:numId="4">
    <w:abstractNumId w:val="5"/>
  </w:num>
  <w:num w:numId="5">
    <w:abstractNumId w:val="9"/>
  </w:num>
  <w:num w:numId="6">
    <w:abstractNumId w:val="3"/>
  </w:num>
  <w:num w:numId="7">
    <w:abstractNumId w:val="4"/>
  </w:num>
  <w:num w:numId="8">
    <w:abstractNumId w:val="11"/>
  </w:num>
  <w:num w:numId="9">
    <w:abstractNumId w:val="13"/>
  </w:num>
  <w:num w:numId="10">
    <w:abstractNumId w:val="0"/>
  </w:num>
  <w:num w:numId="11">
    <w:abstractNumId w:val="12"/>
  </w:num>
  <w:num w:numId="12">
    <w:abstractNumId w:val="2"/>
  </w:num>
  <w:num w:numId="13">
    <w:abstractNumId w:val="8"/>
  </w:num>
  <w:num w:numId="14">
    <w:abstractNumId w:val="7"/>
  </w:num>
  <w:num w:numId="15">
    <w:abstractNumId w:val="10"/>
  </w:num>
  <w:num w:numId="16">
    <w:abstractNumId w:val="15"/>
  </w:num>
  <w:num w:numId="17">
    <w:abstractNumId w:val="14"/>
  </w:num>
  <w:num w:numId="18">
    <w:abstractNumId w:val="16"/>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hideSpellingErrors/>
  <w:hideGrammaticalErrors/>
  <w:revisionView w:markup="0"/>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Green"/>
    <w:docVar w:name="LW_CORRIGENDUM" w:val="&lt;UNUSED&gt;"/>
    <w:docVar w:name="LW_COVERPAGE_EXISTS" w:val="True"/>
    <w:docVar w:name="LW_COVERPAGE_GUID" w:val="9E102A26-2B19-4BF8-85A0-41D9EC7FBEBB"/>
    <w:docVar w:name="LW_COVERPAGE_TYPE" w:val="1"/>
    <w:docVar w:name="LW_CROSSREFERENCE" w:val="&lt;UNUSED&gt;"/>
    <w:docVar w:name="LW_DocType" w:val="NORMAL"/>
    <w:docVar w:name="LW_EMISSION" w:val="6.12.2023"/>
    <w:docVar w:name="LW_EMISSION_ISODATE" w:val="2023-12-06"/>
    <w:docVar w:name="LW_EMISSION_LOCATION" w:val="BRX"/>
    <w:docVar w:name="LW_EMISSION_PREFIX" w:val="Brussels, "/>
    <w:docVar w:name="LW_EMISSION_SUFFIX" w:val=" "/>
    <w:docVar w:name="LW_ID_DOCTYPE_NONLW" w:val="CP-008"/>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3) 931"/>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UNDER ARTICLE 25 TFEU_x000d__x000d__x000d__x000b_On progress towards effective EU citizenship 2020-2023"/>
    <w:docVar w:name="LW_TYPE.DOC.CP" w:val="REPORT FROM THE COMMISSION TO THE EUROPEAN PARLIAMENT, THE COUNCIL, THE EUROPEAN ECONOMIC AND SOCIAL COMMITTEE AND THE COMMITTEE OF THE REGIONS"/>
    <w:docVar w:name="LwApiVersions" w:val="LW4CoDe 1.23.2.0; LW 8.0, Build 20211117"/>
  </w:docVars>
  <w:rsids>
    <w:rsidRoot w:val="005D54C6"/>
    <w:rsid w:val="00001CB5"/>
    <w:rsid w:val="00001F84"/>
    <w:rsid w:val="000048D4"/>
    <w:rsid w:val="00007D8F"/>
    <w:rsid w:val="00010837"/>
    <w:rsid w:val="00013644"/>
    <w:rsid w:val="0001612F"/>
    <w:rsid w:val="00016549"/>
    <w:rsid w:val="00017847"/>
    <w:rsid w:val="00020890"/>
    <w:rsid w:val="00021A82"/>
    <w:rsid w:val="00022468"/>
    <w:rsid w:val="000235D7"/>
    <w:rsid w:val="00023A9E"/>
    <w:rsid w:val="00023E5B"/>
    <w:rsid w:val="000241A8"/>
    <w:rsid w:val="00024689"/>
    <w:rsid w:val="00024AD2"/>
    <w:rsid w:val="00024C0E"/>
    <w:rsid w:val="00026E01"/>
    <w:rsid w:val="00027A87"/>
    <w:rsid w:val="00030350"/>
    <w:rsid w:val="00030F6F"/>
    <w:rsid w:val="0003149F"/>
    <w:rsid w:val="00031A13"/>
    <w:rsid w:val="000331C5"/>
    <w:rsid w:val="000371AC"/>
    <w:rsid w:val="000372CB"/>
    <w:rsid w:val="00040835"/>
    <w:rsid w:val="00042491"/>
    <w:rsid w:val="000455A9"/>
    <w:rsid w:val="00047075"/>
    <w:rsid w:val="00050800"/>
    <w:rsid w:val="00052507"/>
    <w:rsid w:val="000542D4"/>
    <w:rsid w:val="00055325"/>
    <w:rsid w:val="0005536F"/>
    <w:rsid w:val="000634A5"/>
    <w:rsid w:val="00064407"/>
    <w:rsid w:val="000653BE"/>
    <w:rsid w:val="000678A6"/>
    <w:rsid w:val="00075FD2"/>
    <w:rsid w:val="0007626E"/>
    <w:rsid w:val="000771E1"/>
    <w:rsid w:val="00077B86"/>
    <w:rsid w:val="0008031D"/>
    <w:rsid w:val="00090AF2"/>
    <w:rsid w:val="00090C3F"/>
    <w:rsid w:val="000923E1"/>
    <w:rsid w:val="000932E4"/>
    <w:rsid w:val="00096EC9"/>
    <w:rsid w:val="000A06C9"/>
    <w:rsid w:val="000A0ED4"/>
    <w:rsid w:val="000A19E1"/>
    <w:rsid w:val="000A33FB"/>
    <w:rsid w:val="000A4EB0"/>
    <w:rsid w:val="000A59A9"/>
    <w:rsid w:val="000A5D10"/>
    <w:rsid w:val="000A5F3E"/>
    <w:rsid w:val="000A60BD"/>
    <w:rsid w:val="000A70D6"/>
    <w:rsid w:val="000B119A"/>
    <w:rsid w:val="000B1FB8"/>
    <w:rsid w:val="000B4AD2"/>
    <w:rsid w:val="000B66FC"/>
    <w:rsid w:val="000B73C2"/>
    <w:rsid w:val="000B7941"/>
    <w:rsid w:val="000B7E22"/>
    <w:rsid w:val="000C076E"/>
    <w:rsid w:val="000C3183"/>
    <w:rsid w:val="000C43D5"/>
    <w:rsid w:val="000C456E"/>
    <w:rsid w:val="000C7348"/>
    <w:rsid w:val="000C7825"/>
    <w:rsid w:val="000C7F87"/>
    <w:rsid w:val="000D4925"/>
    <w:rsid w:val="000D5158"/>
    <w:rsid w:val="000D5176"/>
    <w:rsid w:val="000D5294"/>
    <w:rsid w:val="000E0CDD"/>
    <w:rsid w:val="000E1F16"/>
    <w:rsid w:val="000E1F9F"/>
    <w:rsid w:val="000E2D33"/>
    <w:rsid w:val="000E7BD5"/>
    <w:rsid w:val="000F0E72"/>
    <w:rsid w:val="000F1408"/>
    <w:rsid w:val="000F22C0"/>
    <w:rsid w:val="000F34B6"/>
    <w:rsid w:val="000F4263"/>
    <w:rsid w:val="000F7264"/>
    <w:rsid w:val="000F7E68"/>
    <w:rsid w:val="00100C91"/>
    <w:rsid w:val="00101635"/>
    <w:rsid w:val="001019F4"/>
    <w:rsid w:val="00105299"/>
    <w:rsid w:val="00106F94"/>
    <w:rsid w:val="00107AF4"/>
    <w:rsid w:val="00110A68"/>
    <w:rsid w:val="00110DDE"/>
    <w:rsid w:val="0011140A"/>
    <w:rsid w:val="0012610D"/>
    <w:rsid w:val="0012610F"/>
    <w:rsid w:val="00126909"/>
    <w:rsid w:val="00127FED"/>
    <w:rsid w:val="00130FED"/>
    <w:rsid w:val="00132DCF"/>
    <w:rsid w:val="0013309B"/>
    <w:rsid w:val="001337D4"/>
    <w:rsid w:val="0013576E"/>
    <w:rsid w:val="001364DC"/>
    <w:rsid w:val="00141980"/>
    <w:rsid w:val="00141FC6"/>
    <w:rsid w:val="00142441"/>
    <w:rsid w:val="00142F25"/>
    <w:rsid w:val="00143097"/>
    <w:rsid w:val="001435E2"/>
    <w:rsid w:val="00144808"/>
    <w:rsid w:val="00145269"/>
    <w:rsid w:val="0014533B"/>
    <w:rsid w:val="00145BA9"/>
    <w:rsid w:val="00147C12"/>
    <w:rsid w:val="001502B1"/>
    <w:rsid w:val="00150DA1"/>
    <w:rsid w:val="00151538"/>
    <w:rsid w:val="00154982"/>
    <w:rsid w:val="00154C23"/>
    <w:rsid w:val="00162046"/>
    <w:rsid w:val="00162966"/>
    <w:rsid w:val="001637D8"/>
    <w:rsid w:val="00163AEB"/>
    <w:rsid w:val="00164EC8"/>
    <w:rsid w:val="00166B5C"/>
    <w:rsid w:val="00171282"/>
    <w:rsid w:val="00171294"/>
    <w:rsid w:val="00172B09"/>
    <w:rsid w:val="001736E0"/>
    <w:rsid w:val="00173F09"/>
    <w:rsid w:val="0017411D"/>
    <w:rsid w:val="0017651E"/>
    <w:rsid w:val="00177124"/>
    <w:rsid w:val="00177294"/>
    <w:rsid w:val="001776EA"/>
    <w:rsid w:val="00180705"/>
    <w:rsid w:val="001819A8"/>
    <w:rsid w:val="00182364"/>
    <w:rsid w:val="001826C3"/>
    <w:rsid w:val="001830E5"/>
    <w:rsid w:val="00183FE2"/>
    <w:rsid w:val="00184C04"/>
    <w:rsid w:val="00185538"/>
    <w:rsid w:val="00187853"/>
    <w:rsid w:val="00187E84"/>
    <w:rsid w:val="001910A6"/>
    <w:rsid w:val="00194311"/>
    <w:rsid w:val="00195F4E"/>
    <w:rsid w:val="001971E6"/>
    <w:rsid w:val="001A3497"/>
    <w:rsid w:val="001A4AC8"/>
    <w:rsid w:val="001B0B6D"/>
    <w:rsid w:val="001B132C"/>
    <w:rsid w:val="001B70A2"/>
    <w:rsid w:val="001C0BF5"/>
    <w:rsid w:val="001C13CB"/>
    <w:rsid w:val="001C15EA"/>
    <w:rsid w:val="001C2A8D"/>
    <w:rsid w:val="001C5162"/>
    <w:rsid w:val="001C5A10"/>
    <w:rsid w:val="001C600B"/>
    <w:rsid w:val="001C612B"/>
    <w:rsid w:val="001C6DA7"/>
    <w:rsid w:val="001D0BFE"/>
    <w:rsid w:val="001D0C2C"/>
    <w:rsid w:val="001D1BFB"/>
    <w:rsid w:val="001D49A6"/>
    <w:rsid w:val="001E0B3D"/>
    <w:rsid w:val="001E2159"/>
    <w:rsid w:val="001E2EE1"/>
    <w:rsid w:val="001F140A"/>
    <w:rsid w:val="001F2497"/>
    <w:rsid w:val="001F5AA8"/>
    <w:rsid w:val="001F5F92"/>
    <w:rsid w:val="001F7D61"/>
    <w:rsid w:val="002032E1"/>
    <w:rsid w:val="00203B94"/>
    <w:rsid w:val="002045D5"/>
    <w:rsid w:val="0020492F"/>
    <w:rsid w:val="00205493"/>
    <w:rsid w:val="00206677"/>
    <w:rsid w:val="0020748A"/>
    <w:rsid w:val="002115AE"/>
    <w:rsid w:val="0021177E"/>
    <w:rsid w:val="00211A07"/>
    <w:rsid w:val="00214199"/>
    <w:rsid w:val="00214A7D"/>
    <w:rsid w:val="00214F6B"/>
    <w:rsid w:val="00215608"/>
    <w:rsid w:val="00215B79"/>
    <w:rsid w:val="0021627D"/>
    <w:rsid w:val="002213E6"/>
    <w:rsid w:val="00222F05"/>
    <w:rsid w:val="00224997"/>
    <w:rsid w:val="002260E8"/>
    <w:rsid w:val="00226A4A"/>
    <w:rsid w:val="002274FD"/>
    <w:rsid w:val="0023008D"/>
    <w:rsid w:val="00233869"/>
    <w:rsid w:val="00233D1B"/>
    <w:rsid w:val="00237FB3"/>
    <w:rsid w:val="002404E2"/>
    <w:rsid w:val="00240D89"/>
    <w:rsid w:val="00243D50"/>
    <w:rsid w:val="00246EE6"/>
    <w:rsid w:val="00247858"/>
    <w:rsid w:val="00247FF5"/>
    <w:rsid w:val="002546CC"/>
    <w:rsid w:val="00257261"/>
    <w:rsid w:val="00261817"/>
    <w:rsid w:val="00264201"/>
    <w:rsid w:val="00265CA0"/>
    <w:rsid w:val="0026691C"/>
    <w:rsid w:val="00267166"/>
    <w:rsid w:val="0027008F"/>
    <w:rsid w:val="00272DEC"/>
    <w:rsid w:val="002765C7"/>
    <w:rsid w:val="002768C5"/>
    <w:rsid w:val="00280778"/>
    <w:rsid w:val="0028177C"/>
    <w:rsid w:val="00283190"/>
    <w:rsid w:val="002843E1"/>
    <w:rsid w:val="00286523"/>
    <w:rsid w:val="00286A3A"/>
    <w:rsid w:val="00291347"/>
    <w:rsid w:val="00294842"/>
    <w:rsid w:val="002A0D48"/>
    <w:rsid w:val="002A310A"/>
    <w:rsid w:val="002A4727"/>
    <w:rsid w:val="002A4F66"/>
    <w:rsid w:val="002A6DED"/>
    <w:rsid w:val="002B4A8B"/>
    <w:rsid w:val="002B51DC"/>
    <w:rsid w:val="002B587D"/>
    <w:rsid w:val="002B70D1"/>
    <w:rsid w:val="002C47FE"/>
    <w:rsid w:val="002C5600"/>
    <w:rsid w:val="002C6113"/>
    <w:rsid w:val="002C7658"/>
    <w:rsid w:val="002C7EBB"/>
    <w:rsid w:val="002D3CD3"/>
    <w:rsid w:val="002D4068"/>
    <w:rsid w:val="002E17E9"/>
    <w:rsid w:val="002E189E"/>
    <w:rsid w:val="002E1AD5"/>
    <w:rsid w:val="002E3B82"/>
    <w:rsid w:val="002E3CE1"/>
    <w:rsid w:val="002E5164"/>
    <w:rsid w:val="002E5314"/>
    <w:rsid w:val="002E540F"/>
    <w:rsid w:val="002E57A5"/>
    <w:rsid w:val="002E703B"/>
    <w:rsid w:val="002E7ACB"/>
    <w:rsid w:val="002F05BB"/>
    <w:rsid w:val="002F11F1"/>
    <w:rsid w:val="002F2DE9"/>
    <w:rsid w:val="002F34C5"/>
    <w:rsid w:val="002F444A"/>
    <w:rsid w:val="002F4D2E"/>
    <w:rsid w:val="002F4FFC"/>
    <w:rsid w:val="002F6F38"/>
    <w:rsid w:val="00301D6F"/>
    <w:rsid w:val="00304774"/>
    <w:rsid w:val="0030490A"/>
    <w:rsid w:val="00312637"/>
    <w:rsid w:val="003131C3"/>
    <w:rsid w:val="0031577D"/>
    <w:rsid w:val="00316806"/>
    <w:rsid w:val="003227E5"/>
    <w:rsid w:val="00323353"/>
    <w:rsid w:val="003259D7"/>
    <w:rsid w:val="00326290"/>
    <w:rsid w:val="00327474"/>
    <w:rsid w:val="00332134"/>
    <w:rsid w:val="003332B0"/>
    <w:rsid w:val="003349B7"/>
    <w:rsid w:val="00334C28"/>
    <w:rsid w:val="00337642"/>
    <w:rsid w:val="0034128D"/>
    <w:rsid w:val="00343C89"/>
    <w:rsid w:val="0034622C"/>
    <w:rsid w:val="00346966"/>
    <w:rsid w:val="003474B3"/>
    <w:rsid w:val="00347AD1"/>
    <w:rsid w:val="003526FA"/>
    <w:rsid w:val="003531E6"/>
    <w:rsid w:val="00353AC6"/>
    <w:rsid w:val="003546DC"/>
    <w:rsid w:val="00355780"/>
    <w:rsid w:val="003638A6"/>
    <w:rsid w:val="00364234"/>
    <w:rsid w:val="0036791F"/>
    <w:rsid w:val="0037015F"/>
    <w:rsid w:val="00371358"/>
    <w:rsid w:val="0037172B"/>
    <w:rsid w:val="00371EB3"/>
    <w:rsid w:val="00372D4A"/>
    <w:rsid w:val="003736E4"/>
    <w:rsid w:val="00373866"/>
    <w:rsid w:val="00376CD5"/>
    <w:rsid w:val="00377423"/>
    <w:rsid w:val="00377CAD"/>
    <w:rsid w:val="003804ED"/>
    <w:rsid w:val="0038153D"/>
    <w:rsid w:val="003833F9"/>
    <w:rsid w:val="003844A7"/>
    <w:rsid w:val="00387CB4"/>
    <w:rsid w:val="00392EA9"/>
    <w:rsid w:val="003950CA"/>
    <w:rsid w:val="00395A89"/>
    <w:rsid w:val="003970A2"/>
    <w:rsid w:val="0039740D"/>
    <w:rsid w:val="003A181D"/>
    <w:rsid w:val="003A3391"/>
    <w:rsid w:val="003A34A1"/>
    <w:rsid w:val="003B2C93"/>
    <w:rsid w:val="003B3A8B"/>
    <w:rsid w:val="003B46F1"/>
    <w:rsid w:val="003B4CF5"/>
    <w:rsid w:val="003B7C01"/>
    <w:rsid w:val="003C1BAC"/>
    <w:rsid w:val="003C258F"/>
    <w:rsid w:val="003C4DAB"/>
    <w:rsid w:val="003C7020"/>
    <w:rsid w:val="003D0BDC"/>
    <w:rsid w:val="003D3B54"/>
    <w:rsid w:val="003D4C84"/>
    <w:rsid w:val="003D559B"/>
    <w:rsid w:val="003D6406"/>
    <w:rsid w:val="003E0A3A"/>
    <w:rsid w:val="003E0AB4"/>
    <w:rsid w:val="003E2288"/>
    <w:rsid w:val="003E3855"/>
    <w:rsid w:val="003E4FED"/>
    <w:rsid w:val="003F0F21"/>
    <w:rsid w:val="003F1EA0"/>
    <w:rsid w:val="003F3EF6"/>
    <w:rsid w:val="003F503A"/>
    <w:rsid w:val="003F75DD"/>
    <w:rsid w:val="003F7647"/>
    <w:rsid w:val="003F7AA0"/>
    <w:rsid w:val="00401E48"/>
    <w:rsid w:val="00403550"/>
    <w:rsid w:val="00403AA5"/>
    <w:rsid w:val="004047DE"/>
    <w:rsid w:val="00405186"/>
    <w:rsid w:val="00407155"/>
    <w:rsid w:val="00413C41"/>
    <w:rsid w:val="00413F3F"/>
    <w:rsid w:val="00416055"/>
    <w:rsid w:val="00417FBD"/>
    <w:rsid w:val="00420594"/>
    <w:rsid w:val="0042155B"/>
    <w:rsid w:val="00423135"/>
    <w:rsid w:val="00424509"/>
    <w:rsid w:val="00424880"/>
    <w:rsid w:val="00425945"/>
    <w:rsid w:val="00430B83"/>
    <w:rsid w:val="00432968"/>
    <w:rsid w:val="00434BD0"/>
    <w:rsid w:val="00434E6D"/>
    <w:rsid w:val="00435897"/>
    <w:rsid w:val="00435994"/>
    <w:rsid w:val="00441B60"/>
    <w:rsid w:val="004436D4"/>
    <w:rsid w:val="00444EEB"/>
    <w:rsid w:val="00446B80"/>
    <w:rsid w:val="00447879"/>
    <w:rsid w:val="0045034F"/>
    <w:rsid w:val="00450389"/>
    <w:rsid w:val="00450795"/>
    <w:rsid w:val="0045143F"/>
    <w:rsid w:val="00452454"/>
    <w:rsid w:val="004535D5"/>
    <w:rsid w:val="00453985"/>
    <w:rsid w:val="00454A93"/>
    <w:rsid w:val="004557A0"/>
    <w:rsid w:val="00457F3B"/>
    <w:rsid w:val="004615FB"/>
    <w:rsid w:val="0046225A"/>
    <w:rsid w:val="004634A0"/>
    <w:rsid w:val="00464E6D"/>
    <w:rsid w:val="00464F90"/>
    <w:rsid w:val="00467612"/>
    <w:rsid w:val="004706C3"/>
    <w:rsid w:val="00472080"/>
    <w:rsid w:val="00472927"/>
    <w:rsid w:val="00473996"/>
    <w:rsid w:val="004813FE"/>
    <w:rsid w:val="004815F2"/>
    <w:rsid w:val="004823B3"/>
    <w:rsid w:val="004831AF"/>
    <w:rsid w:val="004840BF"/>
    <w:rsid w:val="00485005"/>
    <w:rsid w:val="004902BA"/>
    <w:rsid w:val="00493262"/>
    <w:rsid w:val="004955FE"/>
    <w:rsid w:val="00497DF5"/>
    <w:rsid w:val="004A187B"/>
    <w:rsid w:val="004A1FB7"/>
    <w:rsid w:val="004A2BD5"/>
    <w:rsid w:val="004A2E9F"/>
    <w:rsid w:val="004B2E91"/>
    <w:rsid w:val="004B4EE1"/>
    <w:rsid w:val="004B65F5"/>
    <w:rsid w:val="004B680D"/>
    <w:rsid w:val="004B6826"/>
    <w:rsid w:val="004B704D"/>
    <w:rsid w:val="004B76E7"/>
    <w:rsid w:val="004B785D"/>
    <w:rsid w:val="004C1ED3"/>
    <w:rsid w:val="004C2395"/>
    <w:rsid w:val="004C374D"/>
    <w:rsid w:val="004C3ECA"/>
    <w:rsid w:val="004C54A8"/>
    <w:rsid w:val="004C5AB6"/>
    <w:rsid w:val="004C6838"/>
    <w:rsid w:val="004D006E"/>
    <w:rsid w:val="004D0A09"/>
    <w:rsid w:val="004D0C0F"/>
    <w:rsid w:val="004D16FB"/>
    <w:rsid w:val="004D2299"/>
    <w:rsid w:val="004D26AE"/>
    <w:rsid w:val="004D3023"/>
    <w:rsid w:val="004D31B7"/>
    <w:rsid w:val="004D3323"/>
    <w:rsid w:val="004D3707"/>
    <w:rsid w:val="004D4313"/>
    <w:rsid w:val="004E073E"/>
    <w:rsid w:val="004E32B7"/>
    <w:rsid w:val="004E3A0C"/>
    <w:rsid w:val="004E77CF"/>
    <w:rsid w:val="004F03DA"/>
    <w:rsid w:val="004F17FE"/>
    <w:rsid w:val="004F3EAD"/>
    <w:rsid w:val="004F59E1"/>
    <w:rsid w:val="004F7A3A"/>
    <w:rsid w:val="00501197"/>
    <w:rsid w:val="00501616"/>
    <w:rsid w:val="0050169F"/>
    <w:rsid w:val="00502B19"/>
    <w:rsid w:val="00506CFB"/>
    <w:rsid w:val="00511B74"/>
    <w:rsid w:val="005132E8"/>
    <w:rsid w:val="005156C3"/>
    <w:rsid w:val="00516312"/>
    <w:rsid w:val="0052164D"/>
    <w:rsid w:val="00521E37"/>
    <w:rsid w:val="00523690"/>
    <w:rsid w:val="005241C6"/>
    <w:rsid w:val="00524F82"/>
    <w:rsid w:val="00527570"/>
    <w:rsid w:val="0053070F"/>
    <w:rsid w:val="00530BB1"/>
    <w:rsid w:val="00531288"/>
    <w:rsid w:val="005313F1"/>
    <w:rsid w:val="00534D5C"/>
    <w:rsid w:val="00537FFA"/>
    <w:rsid w:val="00542E49"/>
    <w:rsid w:val="00543D9D"/>
    <w:rsid w:val="00543F52"/>
    <w:rsid w:val="005454E3"/>
    <w:rsid w:val="005505FD"/>
    <w:rsid w:val="00551B42"/>
    <w:rsid w:val="0055368E"/>
    <w:rsid w:val="0055636F"/>
    <w:rsid w:val="00561DAD"/>
    <w:rsid w:val="00565306"/>
    <w:rsid w:val="0057405B"/>
    <w:rsid w:val="005745E7"/>
    <w:rsid w:val="005762AC"/>
    <w:rsid w:val="00576D75"/>
    <w:rsid w:val="00581BC6"/>
    <w:rsid w:val="00581F90"/>
    <w:rsid w:val="0058211B"/>
    <w:rsid w:val="00582283"/>
    <w:rsid w:val="00583847"/>
    <w:rsid w:val="00584417"/>
    <w:rsid w:val="00586B9E"/>
    <w:rsid w:val="00586F7C"/>
    <w:rsid w:val="0059689C"/>
    <w:rsid w:val="005A0301"/>
    <w:rsid w:val="005A05A1"/>
    <w:rsid w:val="005A316A"/>
    <w:rsid w:val="005A39A6"/>
    <w:rsid w:val="005A530C"/>
    <w:rsid w:val="005A5FEE"/>
    <w:rsid w:val="005A7124"/>
    <w:rsid w:val="005A7413"/>
    <w:rsid w:val="005B0E7B"/>
    <w:rsid w:val="005B4772"/>
    <w:rsid w:val="005B4FB5"/>
    <w:rsid w:val="005B5C70"/>
    <w:rsid w:val="005B770A"/>
    <w:rsid w:val="005C0196"/>
    <w:rsid w:val="005C01D5"/>
    <w:rsid w:val="005C554D"/>
    <w:rsid w:val="005C7942"/>
    <w:rsid w:val="005D01F7"/>
    <w:rsid w:val="005D3493"/>
    <w:rsid w:val="005D54C6"/>
    <w:rsid w:val="005D55DE"/>
    <w:rsid w:val="005D6595"/>
    <w:rsid w:val="005D7A35"/>
    <w:rsid w:val="005D7FFC"/>
    <w:rsid w:val="005E2539"/>
    <w:rsid w:val="005E355B"/>
    <w:rsid w:val="005E4836"/>
    <w:rsid w:val="005E4E7A"/>
    <w:rsid w:val="005E6BDD"/>
    <w:rsid w:val="005F2943"/>
    <w:rsid w:val="005F2F48"/>
    <w:rsid w:val="005F400D"/>
    <w:rsid w:val="005F47F8"/>
    <w:rsid w:val="005F4DE6"/>
    <w:rsid w:val="005F5736"/>
    <w:rsid w:val="005F663E"/>
    <w:rsid w:val="00603ED8"/>
    <w:rsid w:val="00610CCC"/>
    <w:rsid w:val="0061278F"/>
    <w:rsid w:val="006135E4"/>
    <w:rsid w:val="00614667"/>
    <w:rsid w:val="0062337A"/>
    <w:rsid w:val="00624EB3"/>
    <w:rsid w:val="0062533C"/>
    <w:rsid w:val="006257BF"/>
    <w:rsid w:val="00625855"/>
    <w:rsid w:val="00627AA8"/>
    <w:rsid w:val="006303C3"/>
    <w:rsid w:val="0063176E"/>
    <w:rsid w:val="0063404A"/>
    <w:rsid w:val="0063414C"/>
    <w:rsid w:val="0063479F"/>
    <w:rsid w:val="00634CC2"/>
    <w:rsid w:val="0063645F"/>
    <w:rsid w:val="006365EF"/>
    <w:rsid w:val="00636E07"/>
    <w:rsid w:val="00637E39"/>
    <w:rsid w:val="006411F2"/>
    <w:rsid w:val="006429BF"/>
    <w:rsid w:val="00643274"/>
    <w:rsid w:val="006449F8"/>
    <w:rsid w:val="00645C10"/>
    <w:rsid w:val="00646A15"/>
    <w:rsid w:val="006540BF"/>
    <w:rsid w:val="00656F9E"/>
    <w:rsid w:val="00657CC8"/>
    <w:rsid w:val="00660279"/>
    <w:rsid w:val="006607EC"/>
    <w:rsid w:val="006619D4"/>
    <w:rsid w:val="00663A37"/>
    <w:rsid w:val="006652B8"/>
    <w:rsid w:val="00673003"/>
    <w:rsid w:val="00673448"/>
    <w:rsid w:val="00674C26"/>
    <w:rsid w:val="00674C9A"/>
    <w:rsid w:val="006812CE"/>
    <w:rsid w:val="00682330"/>
    <w:rsid w:val="00682AEF"/>
    <w:rsid w:val="00683024"/>
    <w:rsid w:val="00684F04"/>
    <w:rsid w:val="00685414"/>
    <w:rsid w:val="00687DEF"/>
    <w:rsid w:val="00690602"/>
    <w:rsid w:val="00690D19"/>
    <w:rsid w:val="006922DE"/>
    <w:rsid w:val="00694050"/>
    <w:rsid w:val="006966D5"/>
    <w:rsid w:val="00696B76"/>
    <w:rsid w:val="006A377B"/>
    <w:rsid w:val="006A412E"/>
    <w:rsid w:val="006A4D5B"/>
    <w:rsid w:val="006A55AF"/>
    <w:rsid w:val="006A5F97"/>
    <w:rsid w:val="006A6501"/>
    <w:rsid w:val="006A7331"/>
    <w:rsid w:val="006A7CA9"/>
    <w:rsid w:val="006B2DC8"/>
    <w:rsid w:val="006B564D"/>
    <w:rsid w:val="006B66AB"/>
    <w:rsid w:val="006B7EB2"/>
    <w:rsid w:val="006C023D"/>
    <w:rsid w:val="006C10D2"/>
    <w:rsid w:val="006C422B"/>
    <w:rsid w:val="006C55B0"/>
    <w:rsid w:val="006C65ED"/>
    <w:rsid w:val="006D0772"/>
    <w:rsid w:val="006D29A5"/>
    <w:rsid w:val="006D2BA4"/>
    <w:rsid w:val="006D538C"/>
    <w:rsid w:val="006D6E3B"/>
    <w:rsid w:val="006E194D"/>
    <w:rsid w:val="006E5754"/>
    <w:rsid w:val="006F035B"/>
    <w:rsid w:val="006F2609"/>
    <w:rsid w:val="006F3AE9"/>
    <w:rsid w:val="006F452E"/>
    <w:rsid w:val="006F769E"/>
    <w:rsid w:val="00701678"/>
    <w:rsid w:val="00704351"/>
    <w:rsid w:val="007055A1"/>
    <w:rsid w:val="00705715"/>
    <w:rsid w:val="00707A8E"/>
    <w:rsid w:val="007117F2"/>
    <w:rsid w:val="00712AC4"/>
    <w:rsid w:val="007140BB"/>
    <w:rsid w:val="00721260"/>
    <w:rsid w:val="00721993"/>
    <w:rsid w:val="00722332"/>
    <w:rsid w:val="00722A79"/>
    <w:rsid w:val="00722AC8"/>
    <w:rsid w:val="00723F1D"/>
    <w:rsid w:val="007243CA"/>
    <w:rsid w:val="007251AE"/>
    <w:rsid w:val="0072672D"/>
    <w:rsid w:val="007267E1"/>
    <w:rsid w:val="007305C4"/>
    <w:rsid w:val="00730647"/>
    <w:rsid w:val="00731ED9"/>
    <w:rsid w:val="00735835"/>
    <w:rsid w:val="00735EA7"/>
    <w:rsid w:val="00736041"/>
    <w:rsid w:val="0073789F"/>
    <w:rsid w:val="00740E88"/>
    <w:rsid w:val="007417A5"/>
    <w:rsid w:val="00743A1F"/>
    <w:rsid w:val="00746F50"/>
    <w:rsid w:val="0075401D"/>
    <w:rsid w:val="00764A5C"/>
    <w:rsid w:val="00770F9B"/>
    <w:rsid w:val="00776777"/>
    <w:rsid w:val="00777E34"/>
    <w:rsid w:val="00781FAE"/>
    <w:rsid w:val="007832C5"/>
    <w:rsid w:val="00783E05"/>
    <w:rsid w:val="00785B44"/>
    <w:rsid w:val="00785B69"/>
    <w:rsid w:val="007876B0"/>
    <w:rsid w:val="007922B6"/>
    <w:rsid w:val="00794437"/>
    <w:rsid w:val="007959F4"/>
    <w:rsid w:val="0079742D"/>
    <w:rsid w:val="007977D7"/>
    <w:rsid w:val="007A03E6"/>
    <w:rsid w:val="007A32E8"/>
    <w:rsid w:val="007A37E1"/>
    <w:rsid w:val="007A3939"/>
    <w:rsid w:val="007A4F19"/>
    <w:rsid w:val="007A6053"/>
    <w:rsid w:val="007A60D6"/>
    <w:rsid w:val="007A63EF"/>
    <w:rsid w:val="007B1593"/>
    <w:rsid w:val="007B1E5C"/>
    <w:rsid w:val="007B6237"/>
    <w:rsid w:val="007B69BC"/>
    <w:rsid w:val="007C15BE"/>
    <w:rsid w:val="007C295F"/>
    <w:rsid w:val="007C3B51"/>
    <w:rsid w:val="007C52CC"/>
    <w:rsid w:val="007C5F33"/>
    <w:rsid w:val="007D1D90"/>
    <w:rsid w:val="007D261C"/>
    <w:rsid w:val="007D5743"/>
    <w:rsid w:val="007D6B2F"/>
    <w:rsid w:val="007D717A"/>
    <w:rsid w:val="007E0490"/>
    <w:rsid w:val="007E167A"/>
    <w:rsid w:val="007E2156"/>
    <w:rsid w:val="007E226B"/>
    <w:rsid w:val="007E2D89"/>
    <w:rsid w:val="007E3B68"/>
    <w:rsid w:val="007E6034"/>
    <w:rsid w:val="007E6208"/>
    <w:rsid w:val="007E6B4B"/>
    <w:rsid w:val="007F165E"/>
    <w:rsid w:val="007F1931"/>
    <w:rsid w:val="007F31B2"/>
    <w:rsid w:val="007F39F8"/>
    <w:rsid w:val="007F46B2"/>
    <w:rsid w:val="007F5BC0"/>
    <w:rsid w:val="007F7AB0"/>
    <w:rsid w:val="007F7E35"/>
    <w:rsid w:val="00800413"/>
    <w:rsid w:val="00800B2D"/>
    <w:rsid w:val="0080158D"/>
    <w:rsid w:val="008030BC"/>
    <w:rsid w:val="00804AEE"/>
    <w:rsid w:val="00807C66"/>
    <w:rsid w:val="008100AF"/>
    <w:rsid w:val="00814EBC"/>
    <w:rsid w:val="008158B4"/>
    <w:rsid w:val="00815962"/>
    <w:rsid w:val="00817889"/>
    <w:rsid w:val="0082334E"/>
    <w:rsid w:val="00824FD2"/>
    <w:rsid w:val="00827BCA"/>
    <w:rsid w:val="00833A6A"/>
    <w:rsid w:val="00833BA2"/>
    <w:rsid w:val="00833EA6"/>
    <w:rsid w:val="008379E0"/>
    <w:rsid w:val="00837BCC"/>
    <w:rsid w:val="0084157E"/>
    <w:rsid w:val="008420EA"/>
    <w:rsid w:val="00844639"/>
    <w:rsid w:val="00846271"/>
    <w:rsid w:val="00850F0F"/>
    <w:rsid w:val="0085185B"/>
    <w:rsid w:val="00851DCD"/>
    <w:rsid w:val="00852FB0"/>
    <w:rsid w:val="008530E4"/>
    <w:rsid w:val="00855A24"/>
    <w:rsid w:val="008562DD"/>
    <w:rsid w:val="00857079"/>
    <w:rsid w:val="00860BBE"/>
    <w:rsid w:val="00862C7A"/>
    <w:rsid w:val="0086418B"/>
    <w:rsid w:val="00867E87"/>
    <w:rsid w:val="00870429"/>
    <w:rsid w:val="00874570"/>
    <w:rsid w:val="00875012"/>
    <w:rsid w:val="008750AA"/>
    <w:rsid w:val="00875766"/>
    <w:rsid w:val="008773AC"/>
    <w:rsid w:val="0087771B"/>
    <w:rsid w:val="00882B54"/>
    <w:rsid w:val="00883AF4"/>
    <w:rsid w:val="008902C2"/>
    <w:rsid w:val="00890900"/>
    <w:rsid w:val="008926A0"/>
    <w:rsid w:val="00892CBD"/>
    <w:rsid w:val="0089313A"/>
    <w:rsid w:val="008937FD"/>
    <w:rsid w:val="00893B98"/>
    <w:rsid w:val="00895727"/>
    <w:rsid w:val="00895EF5"/>
    <w:rsid w:val="008978B9"/>
    <w:rsid w:val="008A371B"/>
    <w:rsid w:val="008A3D62"/>
    <w:rsid w:val="008A5E38"/>
    <w:rsid w:val="008A6CDC"/>
    <w:rsid w:val="008A7D9A"/>
    <w:rsid w:val="008A7E31"/>
    <w:rsid w:val="008B08E7"/>
    <w:rsid w:val="008B18AB"/>
    <w:rsid w:val="008B2AF7"/>
    <w:rsid w:val="008C05AA"/>
    <w:rsid w:val="008C1F41"/>
    <w:rsid w:val="008C78AE"/>
    <w:rsid w:val="008E0FC8"/>
    <w:rsid w:val="008E17DC"/>
    <w:rsid w:val="008E1A96"/>
    <w:rsid w:val="008E1B22"/>
    <w:rsid w:val="008E4180"/>
    <w:rsid w:val="008E62FD"/>
    <w:rsid w:val="008F0D41"/>
    <w:rsid w:val="008F40E7"/>
    <w:rsid w:val="008F705F"/>
    <w:rsid w:val="008F7755"/>
    <w:rsid w:val="009031DE"/>
    <w:rsid w:val="009037F8"/>
    <w:rsid w:val="00903D5E"/>
    <w:rsid w:val="009044D8"/>
    <w:rsid w:val="00904724"/>
    <w:rsid w:val="009048F3"/>
    <w:rsid w:val="00913B75"/>
    <w:rsid w:val="009152D5"/>
    <w:rsid w:val="009164E5"/>
    <w:rsid w:val="009175EC"/>
    <w:rsid w:val="00921453"/>
    <w:rsid w:val="00923A6E"/>
    <w:rsid w:val="00923AE5"/>
    <w:rsid w:val="009245CD"/>
    <w:rsid w:val="009251AC"/>
    <w:rsid w:val="00925277"/>
    <w:rsid w:val="00925AA4"/>
    <w:rsid w:val="00926CC9"/>
    <w:rsid w:val="0093122F"/>
    <w:rsid w:val="009320DF"/>
    <w:rsid w:val="0093311D"/>
    <w:rsid w:val="009345DC"/>
    <w:rsid w:val="00934D4B"/>
    <w:rsid w:val="0093587A"/>
    <w:rsid w:val="0094056E"/>
    <w:rsid w:val="0094095B"/>
    <w:rsid w:val="009453DA"/>
    <w:rsid w:val="00945A7A"/>
    <w:rsid w:val="0094751A"/>
    <w:rsid w:val="00947A23"/>
    <w:rsid w:val="00950B45"/>
    <w:rsid w:val="009512DD"/>
    <w:rsid w:val="0095295B"/>
    <w:rsid w:val="0096112A"/>
    <w:rsid w:val="009616BA"/>
    <w:rsid w:val="0096714C"/>
    <w:rsid w:val="0097097A"/>
    <w:rsid w:val="00972542"/>
    <w:rsid w:val="00972A9F"/>
    <w:rsid w:val="00975153"/>
    <w:rsid w:val="009751A1"/>
    <w:rsid w:val="00981181"/>
    <w:rsid w:val="00981915"/>
    <w:rsid w:val="0098253A"/>
    <w:rsid w:val="00984672"/>
    <w:rsid w:val="00984A0D"/>
    <w:rsid w:val="009857EB"/>
    <w:rsid w:val="00991577"/>
    <w:rsid w:val="00992742"/>
    <w:rsid w:val="009966DE"/>
    <w:rsid w:val="009A0B99"/>
    <w:rsid w:val="009A1008"/>
    <w:rsid w:val="009A29CB"/>
    <w:rsid w:val="009A72DE"/>
    <w:rsid w:val="009A7ED9"/>
    <w:rsid w:val="009B17B2"/>
    <w:rsid w:val="009B1C1C"/>
    <w:rsid w:val="009B4EEB"/>
    <w:rsid w:val="009C23A9"/>
    <w:rsid w:val="009C3861"/>
    <w:rsid w:val="009C404B"/>
    <w:rsid w:val="009C6034"/>
    <w:rsid w:val="009C691E"/>
    <w:rsid w:val="009C6B02"/>
    <w:rsid w:val="009D0DBA"/>
    <w:rsid w:val="009D3C14"/>
    <w:rsid w:val="009E4BA3"/>
    <w:rsid w:val="009E4E80"/>
    <w:rsid w:val="009E5D4F"/>
    <w:rsid w:val="009F09BB"/>
    <w:rsid w:val="009F0D1B"/>
    <w:rsid w:val="009F0D57"/>
    <w:rsid w:val="009F0ED9"/>
    <w:rsid w:val="009F214A"/>
    <w:rsid w:val="009F3608"/>
    <w:rsid w:val="009F5DFB"/>
    <w:rsid w:val="009F5FF9"/>
    <w:rsid w:val="009F6800"/>
    <w:rsid w:val="009F7A3A"/>
    <w:rsid w:val="00A01E88"/>
    <w:rsid w:val="00A02559"/>
    <w:rsid w:val="00A0350E"/>
    <w:rsid w:val="00A04FBB"/>
    <w:rsid w:val="00A072B5"/>
    <w:rsid w:val="00A12133"/>
    <w:rsid w:val="00A1297C"/>
    <w:rsid w:val="00A1529C"/>
    <w:rsid w:val="00A15C5C"/>
    <w:rsid w:val="00A20FA3"/>
    <w:rsid w:val="00A247C2"/>
    <w:rsid w:val="00A252E1"/>
    <w:rsid w:val="00A27C10"/>
    <w:rsid w:val="00A319A7"/>
    <w:rsid w:val="00A319C0"/>
    <w:rsid w:val="00A34313"/>
    <w:rsid w:val="00A40497"/>
    <w:rsid w:val="00A4435F"/>
    <w:rsid w:val="00A46D04"/>
    <w:rsid w:val="00A47978"/>
    <w:rsid w:val="00A52CA3"/>
    <w:rsid w:val="00A54B00"/>
    <w:rsid w:val="00A579DF"/>
    <w:rsid w:val="00A634BD"/>
    <w:rsid w:val="00A667DB"/>
    <w:rsid w:val="00A67B1C"/>
    <w:rsid w:val="00A702FC"/>
    <w:rsid w:val="00A70F89"/>
    <w:rsid w:val="00A71DC0"/>
    <w:rsid w:val="00A7295C"/>
    <w:rsid w:val="00A73F4B"/>
    <w:rsid w:val="00A7510E"/>
    <w:rsid w:val="00A8038D"/>
    <w:rsid w:val="00A82003"/>
    <w:rsid w:val="00A853E7"/>
    <w:rsid w:val="00A93417"/>
    <w:rsid w:val="00A93C5C"/>
    <w:rsid w:val="00A962BC"/>
    <w:rsid w:val="00A96C2D"/>
    <w:rsid w:val="00A97035"/>
    <w:rsid w:val="00AA1F6E"/>
    <w:rsid w:val="00AA7D61"/>
    <w:rsid w:val="00AB0261"/>
    <w:rsid w:val="00AB18E6"/>
    <w:rsid w:val="00AB56B7"/>
    <w:rsid w:val="00AB5A90"/>
    <w:rsid w:val="00AB6A92"/>
    <w:rsid w:val="00AB6AAF"/>
    <w:rsid w:val="00AB6AF9"/>
    <w:rsid w:val="00AC0DD1"/>
    <w:rsid w:val="00AC6769"/>
    <w:rsid w:val="00AC778D"/>
    <w:rsid w:val="00AD08C6"/>
    <w:rsid w:val="00AD177F"/>
    <w:rsid w:val="00AD26D2"/>
    <w:rsid w:val="00AD3FCC"/>
    <w:rsid w:val="00AD6190"/>
    <w:rsid w:val="00AE00CD"/>
    <w:rsid w:val="00AE1603"/>
    <w:rsid w:val="00AE1F1E"/>
    <w:rsid w:val="00AE75F9"/>
    <w:rsid w:val="00AF499B"/>
    <w:rsid w:val="00AF7E48"/>
    <w:rsid w:val="00B0133B"/>
    <w:rsid w:val="00B016E9"/>
    <w:rsid w:val="00B03AA6"/>
    <w:rsid w:val="00B07515"/>
    <w:rsid w:val="00B10704"/>
    <w:rsid w:val="00B10CE6"/>
    <w:rsid w:val="00B11596"/>
    <w:rsid w:val="00B11DB2"/>
    <w:rsid w:val="00B11DE5"/>
    <w:rsid w:val="00B11F00"/>
    <w:rsid w:val="00B13490"/>
    <w:rsid w:val="00B135F6"/>
    <w:rsid w:val="00B141E0"/>
    <w:rsid w:val="00B146C3"/>
    <w:rsid w:val="00B1587F"/>
    <w:rsid w:val="00B16022"/>
    <w:rsid w:val="00B172D0"/>
    <w:rsid w:val="00B215D5"/>
    <w:rsid w:val="00B22A06"/>
    <w:rsid w:val="00B2519F"/>
    <w:rsid w:val="00B257C2"/>
    <w:rsid w:val="00B26AFC"/>
    <w:rsid w:val="00B276EF"/>
    <w:rsid w:val="00B30B55"/>
    <w:rsid w:val="00B325E8"/>
    <w:rsid w:val="00B35C89"/>
    <w:rsid w:val="00B36A0C"/>
    <w:rsid w:val="00B36DB5"/>
    <w:rsid w:val="00B36E09"/>
    <w:rsid w:val="00B42A41"/>
    <w:rsid w:val="00B42ADE"/>
    <w:rsid w:val="00B45002"/>
    <w:rsid w:val="00B45452"/>
    <w:rsid w:val="00B52E7D"/>
    <w:rsid w:val="00B532DE"/>
    <w:rsid w:val="00B535C0"/>
    <w:rsid w:val="00B56AC4"/>
    <w:rsid w:val="00B576E1"/>
    <w:rsid w:val="00B57D01"/>
    <w:rsid w:val="00B612EB"/>
    <w:rsid w:val="00B61C38"/>
    <w:rsid w:val="00B6260E"/>
    <w:rsid w:val="00B6462B"/>
    <w:rsid w:val="00B65216"/>
    <w:rsid w:val="00B6533F"/>
    <w:rsid w:val="00B70F0F"/>
    <w:rsid w:val="00B72BB8"/>
    <w:rsid w:val="00B73926"/>
    <w:rsid w:val="00B74734"/>
    <w:rsid w:val="00B754FB"/>
    <w:rsid w:val="00B77788"/>
    <w:rsid w:val="00B811F3"/>
    <w:rsid w:val="00B82A49"/>
    <w:rsid w:val="00B869A1"/>
    <w:rsid w:val="00B86A02"/>
    <w:rsid w:val="00B90BC8"/>
    <w:rsid w:val="00B90BCE"/>
    <w:rsid w:val="00B92CDC"/>
    <w:rsid w:val="00B952EF"/>
    <w:rsid w:val="00BA0E00"/>
    <w:rsid w:val="00BA29EE"/>
    <w:rsid w:val="00BA30B9"/>
    <w:rsid w:val="00BA40FE"/>
    <w:rsid w:val="00BA7145"/>
    <w:rsid w:val="00BB1E30"/>
    <w:rsid w:val="00BB2D46"/>
    <w:rsid w:val="00BB7D3F"/>
    <w:rsid w:val="00BB7DAC"/>
    <w:rsid w:val="00BC0867"/>
    <w:rsid w:val="00BC1FA7"/>
    <w:rsid w:val="00BD00A9"/>
    <w:rsid w:val="00BD0503"/>
    <w:rsid w:val="00BD1482"/>
    <w:rsid w:val="00BD2370"/>
    <w:rsid w:val="00BD3ADB"/>
    <w:rsid w:val="00BE0E17"/>
    <w:rsid w:val="00BE1B92"/>
    <w:rsid w:val="00BE23B1"/>
    <w:rsid w:val="00BE31D8"/>
    <w:rsid w:val="00BE5B13"/>
    <w:rsid w:val="00BE6370"/>
    <w:rsid w:val="00BE6761"/>
    <w:rsid w:val="00BF091A"/>
    <w:rsid w:val="00BF49CF"/>
    <w:rsid w:val="00BF5EA2"/>
    <w:rsid w:val="00BF652A"/>
    <w:rsid w:val="00BF7985"/>
    <w:rsid w:val="00C000C7"/>
    <w:rsid w:val="00C01BAD"/>
    <w:rsid w:val="00C0333E"/>
    <w:rsid w:val="00C0377F"/>
    <w:rsid w:val="00C038CB"/>
    <w:rsid w:val="00C04514"/>
    <w:rsid w:val="00C1070E"/>
    <w:rsid w:val="00C10B79"/>
    <w:rsid w:val="00C10D5C"/>
    <w:rsid w:val="00C1149B"/>
    <w:rsid w:val="00C12632"/>
    <w:rsid w:val="00C13E98"/>
    <w:rsid w:val="00C146D4"/>
    <w:rsid w:val="00C1488A"/>
    <w:rsid w:val="00C16621"/>
    <w:rsid w:val="00C17C49"/>
    <w:rsid w:val="00C20257"/>
    <w:rsid w:val="00C34253"/>
    <w:rsid w:val="00C37D65"/>
    <w:rsid w:val="00C41842"/>
    <w:rsid w:val="00C46271"/>
    <w:rsid w:val="00C51E63"/>
    <w:rsid w:val="00C53F39"/>
    <w:rsid w:val="00C568A5"/>
    <w:rsid w:val="00C56F5B"/>
    <w:rsid w:val="00C622FA"/>
    <w:rsid w:val="00C70D89"/>
    <w:rsid w:val="00C737D7"/>
    <w:rsid w:val="00C74ED1"/>
    <w:rsid w:val="00C76A93"/>
    <w:rsid w:val="00C76FD9"/>
    <w:rsid w:val="00C77D50"/>
    <w:rsid w:val="00C8213B"/>
    <w:rsid w:val="00C82D08"/>
    <w:rsid w:val="00C832E7"/>
    <w:rsid w:val="00C87D72"/>
    <w:rsid w:val="00C920F1"/>
    <w:rsid w:val="00C931F3"/>
    <w:rsid w:val="00C93239"/>
    <w:rsid w:val="00C955A3"/>
    <w:rsid w:val="00CA1120"/>
    <w:rsid w:val="00CA3567"/>
    <w:rsid w:val="00CA7849"/>
    <w:rsid w:val="00CB022A"/>
    <w:rsid w:val="00CB23E8"/>
    <w:rsid w:val="00CB2665"/>
    <w:rsid w:val="00CB2F83"/>
    <w:rsid w:val="00CB53D3"/>
    <w:rsid w:val="00CB5B75"/>
    <w:rsid w:val="00CB77AD"/>
    <w:rsid w:val="00CB7CBF"/>
    <w:rsid w:val="00CBF04E"/>
    <w:rsid w:val="00CC0F14"/>
    <w:rsid w:val="00CC2D24"/>
    <w:rsid w:val="00CC2E24"/>
    <w:rsid w:val="00CC4D7D"/>
    <w:rsid w:val="00CC5E19"/>
    <w:rsid w:val="00CC5FC1"/>
    <w:rsid w:val="00CC6C4B"/>
    <w:rsid w:val="00CC7F28"/>
    <w:rsid w:val="00CC7F51"/>
    <w:rsid w:val="00CD2808"/>
    <w:rsid w:val="00CD5AFA"/>
    <w:rsid w:val="00CD643E"/>
    <w:rsid w:val="00CD7E0F"/>
    <w:rsid w:val="00CE0A21"/>
    <w:rsid w:val="00CE0A2A"/>
    <w:rsid w:val="00CE0A74"/>
    <w:rsid w:val="00CE1542"/>
    <w:rsid w:val="00CE15A8"/>
    <w:rsid w:val="00CE2EE3"/>
    <w:rsid w:val="00CE3ACE"/>
    <w:rsid w:val="00CE4614"/>
    <w:rsid w:val="00CF25B1"/>
    <w:rsid w:val="00CF4ECA"/>
    <w:rsid w:val="00D0117D"/>
    <w:rsid w:val="00D03902"/>
    <w:rsid w:val="00D03DFB"/>
    <w:rsid w:val="00D0617A"/>
    <w:rsid w:val="00D07FD5"/>
    <w:rsid w:val="00D101C7"/>
    <w:rsid w:val="00D1144F"/>
    <w:rsid w:val="00D13440"/>
    <w:rsid w:val="00D13B17"/>
    <w:rsid w:val="00D14D4B"/>
    <w:rsid w:val="00D15602"/>
    <w:rsid w:val="00D15E24"/>
    <w:rsid w:val="00D160E9"/>
    <w:rsid w:val="00D17D2E"/>
    <w:rsid w:val="00D22A0B"/>
    <w:rsid w:val="00D235EF"/>
    <w:rsid w:val="00D32453"/>
    <w:rsid w:val="00D342A4"/>
    <w:rsid w:val="00D35127"/>
    <w:rsid w:val="00D3579B"/>
    <w:rsid w:val="00D37DAC"/>
    <w:rsid w:val="00D4044E"/>
    <w:rsid w:val="00D43C77"/>
    <w:rsid w:val="00D44082"/>
    <w:rsid w:val="00D45D15"/>
    <w:rsid w:val="00D45EF8"/>
    <w:rsid w:val="00D50F5A"/>
    <w:rsid w:val="00D534CF"/>
    <w:rsid w:val="00D56C87"/>
    <w:rsid w:val="00D56E8A"/>
    <w:rsid w:val="00D57498"/>
    <w:rsid w:val="00D60057"/>
    <w:rsid w:val="00D6045E"/>
    <w:rsid w:val="00D62716"/>
    <w:rsid w:val="00D63094"/>
    <w:rsid w:val="00D64D5D"/>
    <w:rsid w:val="00D6652E"/>
    <w:rsid w:val="00D70B77"/>
    <w:rsid w:val="00D710C2"/>
    <w:rsid w:val="00D73559"/>
    <w:rsid w:val="00D76DF8"/>
    <w:rsid w:val="00D77E5F"/>
    <w:rsid w:val="00D810B5"/>
    <w:rsid w:val="00D83D76"/>
    <w:rsid w:val="00D83ED6"/>
    <w:rsid w:val="00D855E4"/>
    <w:rsid w:val="00D8598A"/>
    <w:rsid w:val="00D866DA"/>
    <w:rsid w:val="00D90D45"/>
    <w:rsid w:val="00D91666"/>
    <w:rsid w:val="00D9192B"/>
    <w:rsid w:val="00D92226"/>
    <w:rsid w:val="00D9380E"/>
    <w:rsid w:val="00D947F1"/>
    <w:rsid w:val="00D9602E"/>
    <w:rsid w:val="00DA31EF"/>
    <w:rsid w:val="00DA4CFE"/>
    <w:rsid w:val="00DA528A"/>
    <w:rsid w:val="00DB0862"/>
    <w:rsid w:val="00DB2014"/>
    <w:rsid w:val="00DB3497"/>
    <w:rsid w:val="00DB3968"/>
    <w:rsid w:val="00DB5575"/>
    <w:rsid w:val="00DB68C9"/>
    <w:rsid w:val="00DC0186"/>
    <w:rsid w:val="00DC0A86"/>
    <w:rsid w:val="00DC2349"/>
    <w:rsid w:val="00DC2760"/>
    <w:rsid w:val="00DC3653"/>
    <w:rsid w:val="00DC3976"/>
    <w:rsid w:val="00DC3B23"/>
    <w:rsid w:val="00DC4A53"/>
    <w:rsid w:val="00DC540F"/>
    <w:rsid w:val="00DC5C64"/>
    <w:rsid w:val="00DC70E1"/>
    <w:rsid w:val="00DC75B4"/>
    <w:rsid w:val="00DC7B07"/>
    <w:rsid w:val="00DC7CF2"/>
    <w:rsid w:val="00DD0508"/>
    <w:rsid w:val="00DD25C9"/>
    <w:rsid w:val="00DD3188"/>
    <w:rsid w:val="00DD383D"/>
    <w:rsid w:val="00DD59B2"/>
    <w:rsid w:val="00DE1A5C"/>
    <w:rsid w:val="00DE32E9"/>
    <w:rsid w:val="00DE4DDF"/>
    <w:rsid w:val="00DE4F3F"/>
    <w:rsid w:val="00DE555B"/>
    <w:rsid w:val="00DE5B9A"/>
    <w:rsid w:val="00DF1A96"/>
    <w:rsid w:val="00DF3697"/>
    <w:rsid w:val="00DF48B6"/>
    <w:rsid w:val="00DF5471"/>
    <w:rsid w:val="00DF5D62"/>
    <w:rsid w:val="00DF6BA4"/>
    <w:rsid w:val="00DF6D40"/>
    <w:rsid w:val="00DF7D30"/>
    <w:rsid w:val="00E03297"/>
    <w:rsid w:val="00E04E42"/>
    <w:rsid w:val="00E10E3C"/>
    <w:rsid w:val="00E10F2D"/>
    <w:rsid w:val="00E12D47"/>
    <w:rsid w:val="00E13516"/>
    <w:rsid w:val="00E15416"/>
    <w:rsid w:val="00E16B9B"/>
    <w:rsid w:val="00E179A6"/>
    <w:rsid w:val="00E20308"/>
    <w:rsid w:val="00E2100E"/>
    <w:rsid w:val="00E21677"/>
    <w:rsid w:val="00E22BB5"/>
    <w:rsid w:val="00E24979"/>
    <w:rsid w:val="00E24DD5"/>
    <w:rsid w:val="00E268BA"/>
    <w:rsid w:val="00E2754E"/>
    <w:rsid w:val="00E30FF4"/>
    <w:rsid w:val="00E31958"/>
    <w:rsid w:val="00E31BA8"/>
    <w:rsid w:val="00E3522A"/>
    <w:rsid w:val="00E408FA"/>
    <w:rsid w:val="00E46CAF"/>
    <w:rsid w:val="00E47AE3"/>
    <w:rsid w:val="00E47D9C"/>
    <w:rsid w:val="00E50169"/>
    <w:rsid w:val="00E51783"/>
    <w:rsid w:val="00E5548E"/>
    <w:rsid w:val="00E575BE"/>
    <w:rsid w:val="00E60D20"/>
    <w:rsid w:val="00E6168F"/>
    <w:rsid w:val="00E65DC3"/>
    <w:rsid w:val="00E70281"/>
    <w:rsid w:val="00E716AC"/>
    <w:rsid w:val="00E72DEC"/>
    <w:rsid w:val="00E74959"/>
    <w:rsid w:val="00E75274"/>
    <w:rsid w:val="00E77BC9"/>
    <w:rsid w:val="00E77EEE"/>
    <w:rsid w:val="00E81FCF"/>
    <w:rsid w:val="00E829A8"/>
    <w:rsid w:val="00E84670"/>
    <w:rsid w:val="00E84D18"/>
    <w:rsid w:val="00E8535F"/>
    <w:rsid w:val="00E85A1A"/>
    <w:rsid w:val="00E85FCA"/>
    <w:rsid w:val="00E87667"/>
    <w:rsid w:val="00E91F19"/>
    <w:rsid w:val="00E93843"/>
    <w:rsid w:val="00E93A3B"/>
    <w:rsid w:val="00E94192"/>
    <w:rsid w:val="00E95A55"/>
    <w:rsid w:val="00E97805"/>
    <w:rsid w:val="00EA2FDC"/>
    <w:rsid w:val="00EA46F3"/>
    <w:rsid w:val="00EA6766"/>
    <w:rsid w:val="00EB1EF8"/>
    <w:rsid w:val="00EB1FC9"/>
    <w:rsid w:val="00EB3297"/>
    <w:rsid w:val="00EC0129"/>
    <w:rsid w:val="00EC08AA"/>
    <w:rsid w:val="00EC184C"/>
    <w:rsid w:val="00EC3268"/>
    <w:rsid w:val="00EC390F"/>
    <w:rsid w:val="00EC5681"/>
    <w:rsid w:val="00EC6E6B"/>
    <w:rsid w:val="00EC78E4"/>
    <w:rsid w:val="00ED076C"/>
    <w:rsid w:val="00ED09C6"/>
    <w:rsid w:val="00ED3CE0"/>
    <w:rsid w:val="00ED4744"/>
    <w:rsid w:val="00ED6111"/>
    <w:rsid w:val="00ED7715"/>
    <w:rsid w:val="00ED7F66"/>
    <w:rsid w:val="00EE0F41"/>
    <w:rsid w:val="00EE2DDD"/>
    <w:rsid w:val="00EE3034"/>
    <w:rsid w:val="00EE5C76"/>
    <w:rsid w:val="00EE60CB"/>
    <w:rsid w:val="00EE6615"/>
    <w:rsid w:val="00EF0165"/>
    <w:rsid w:val="00EF1236"/>
    <w:rsid w:val="00EF1B66"/>
    <w:rsid w:val="00EF1C56"/>
    <w:rsid w:val="00EF49D7"/>
    <w:rsid w:val="00EF5FE0"/>
    <w:rsid w:val="00EF74FB"/>
    <w:rsid w:val="00EF76D0"/>
    <w:rsid w:val="00F02CB9"/>
    <w:rsid w:val="00F03211"/>
    <w:rsid w:val="00F03A01"/>
    <w:rsid w:val="00F0538D"/>
    <w:rsid w:val="00F05F68"/>
    <w:rsid w:val="00F06AD2"/>
    <w:rsid w:val="00F0767C"/>
    <w:rsid w:val="00F07E56"/>
    <w:rsid w:val="00F10C2E"/>
    <w:rsid w:val="00F10DB2"/>
    <w:rsid w:val="00F12AF8"/>
    <w:rsid w:val="00F14183"/>
    <w:rsid w:val="00F15E9E"/>
    <w:rsid w:val="00F168BA"/>
    <w:rsid w:val="00F1691C"/>
    <w:rsid w:val="00F202AE"/>
    <w:rsid w:val="00F20E60"/>
    <w:rsid w:val="00F21108"/>
    <w:rsid w:val="00F23390"/>
    <w:rsid w:val="00F25505"/>
    <w:rsid w:val="00F301AB"/>
    <w:rsid w:val="00F30D57"/>
    <w:rsid w:val="00F32CE8"/>
    <w:rsid w:val="00F32DAC"/>
    <w:rsid w:val="00F34584"/>
    <w:rsid w:val="00F40C6A"/>
    <w:rsid w:val="00F41033"/>
    <w:rsid w:val="00F41ABA"/>
    <w:rsid w:val="00F42858"/>
    <w:rsid w:val="00F45CD2"/>
    <w:rsid w:val="00F51D3F"/>
    <w:rsid w:val="00F51F8F"/>
    <w:rsid w:val="00F5330E"/>
    <w:rsid w:val="00F55A2F"/>
    <w:rsid w:val="00F56804"/>
    <w:rsid w:val="00F60B83"/>
    <w:rsid w:val="00F60C24"/>
    <w:rsid w:val="00F63F1D"/>
    <w:rsid w:val="00F6649A"/>
    <w:rsid w:val="00F66E66"/>
    <w:rsid w:val="00F679E1"/>
    <w:rsid w:val="00F70039"/>
    <w:rsid w:val="00F707AC"/>
    <w:rsid w:val="00F709A9"/>
    <w:rsid w:val="00F715BF"/>
    <w:rsid w:val="00F71D92"/>
    <w:rsid w:val="00F75A77"/>
    <w:rsid w:val="00F76B34"/>
    <w:rsid w:val="00F8283B"/>
    <w:rsid w:val="00F85695"/>
    <w:rsid w:val="00F86C40"/>
    <w:rsid w:val="00F87160"/>
    <w:rsid w:val="00F908FC"/>
    <w:rsid w:val="00F90CF6"/>
    <w:rsid w:val="00F91F45"/>
    <w:rsid w:val="00F92E61"/>
    <w:rsid w:val="00F93457"/>
    <w:rsid w:val="00F94985"/>
    <w:rsid w:val="00F94F7F"/>
    <w:rsid w:val="00F972E8"/>
    <w:rsid w:val="00FA0487"/>
    <w:rsid w:val="00FA0BB6"/>
    <w:rsid w:val="00FA5C86"/>
    <w:rsid w:val="00FA5D3D"/>
    <w:rsid w:val="00FA69A4"/>
    <w:rsid w:val="00FA6B64"/>
    <w:rsid w:val="00FA7B99"/>
    <w:rsid w:val="00FB64D2"/>
    <w:rsid w:val="00FC0E78"/>
    <w:rsid w:val="00FC311C"/>
    <w:rsid w:val="00FC3B40"/>
    <w:rsid w:val="00FC3F48"/>
    <w:rsid w:val="00FC4D4F"/>
    <w:rsid w:val="00FC5A67"/>
    <w:rsid w:val="00FC6FEE"/>
    <w:rsid w:val="00FC7D90"/>
    <w:rsid w:val="00FD1FAE"/>
    <w:rsid w:val="00FD3160"/>
    <w:rsid w:val="00FD3587"/>
    <w:rsid w:val="00FD5499"/>
    <w:rsid w:val="00FE0DAE"/>
    <w:rsid w:val="00FE2707"/>
    <w:rsid w:val="00FE4487"/>
    <w:rsid w:val="00FF0E1E"/>
    <w:rsid w:val="00FF26CF"/>
    <w:rsid w:val="00FF380E"/>
    <w:rsid w:val="00FF4A2D"/>
    <w:rsid w:val="00FF6347"/>
    <w:rsid w:val="00FF6CB4"/>
    <w:rsid w:val="00FF75A3"/>
    <w:rsid w:val="01C564A4"/>
    <w:rsid w:val="029C2ECC"/>
    <w:rsid w:val="0307B5EF"/>
    <w:rsid w:val="0341855F"/>
    <w:rsid w:val="04342748"/>
    <w:rsid w:val="045360F2"/>
    <w:rsid w:val="04822D8B"/>
    <w:rsid w:val="04A67462"/>
    <w:rsid w:val="0507C309"/>
    <w:rsid w:val="050A2F82"/>
    <w:rsid w:val="0586D932"/>
    <w:rsid w:val="05F9C6A8"/>
    <w:rsid w:val="05FA1DA4"/>
    <w:rsid w:val="0635DD89"/>
    <w:rsid w:val="07461374"/>
    <w:rsid w:val="078A72EB"/>
    <w:rsid w:val="078F6BB9"/>
    <w:rsid w:val="0793EDCD"/>
    <w:rsid w:val="084A52FE"/>
    <w:rsid w:val="0A0B4D7D"/>
    <w:rsid w:val="0A294384"/>
    <w:rsid w:val="0A57D3B6"/>
    <w:rsid w:val="0AE645FC"/>
    <w:rsid w:val="0B0AC58D"/>
    <w:rsid w:val="0B69EF98"/>
    <w:rsid w:val="0C631C5F"/>
    <w:rsid w:val="0C81D82D"/>
    <w:rsid w:val="0C9DB3F0"/>
    <w:rsid w:val="0D194B6C"/>
    <w:rsid w:val="0D8FD335"/>
    <w:rsid w:val="0DDDCD40"/>
    <w:rsid w:val="0E6561B4"/>
    <w:rsid w:val="0EB1DC8A"/>
    <w:rsid w:val="0EFFB663"/>
    <w:rsid w:val="0F023003"/>
    <w:rsid w:val="0F799DA1"/>
    <w:rsid w:val="1006E0B0"/>
    <w:rsid w:val="1067E49F"/>
    <w:rsid w:val="10F2A02E"/>
    <w:rsid w:val="10FE288B"/>
    <w:rsid w:val="11EAC3AB"/>
    <w:rsid w:val="12477CFF"/>
    <w:rsid w:val="13215F1A"/>
    <w:rsid w:val="133165C1"/>
    <w:rsid w:val="13BFB35A"/>
    <w:rsid w:val="149DAE2A"/>
    <w:rsid w:val="14BA231B"/>
    <w:rsid w:val="15E93319"/>
    <w:rsid w:val="16272B2F"/>
    <w:rsid w:val="175E2A62"/>
    <w:rsid w:val="17641E89"/>
    <w:rsid w:val="17AFE6A0"/>
    <w:rsid w:val="18E1A2C4"/>
    <w:rsid w:val="190DCFC2"/>
    <w:rsid w:val="1960BB16"/>
    <w:rsid w:val="19CEAAA8"/>
    <w:rsid w:val="1A58D588"/>
    <w:rsid w:val="1A6B8B93"/>
    <w:rsid w:val="1A9C56C3"/>
    <w:rsid w:val="1ABB6072"/>
    <w:rsid w:val="1AD4C20D"/>
    <w:rsid w:val="1B236535"/>
    <w:rsid w:val="1B8D4567"/>
    <w:rsid w:val="1C2219AC"/>
    <w:rsid w:val="1CC5E261"/>
    <w:rsid w:val="1CD30E1D"/>
    <w:rsid w:val="1D512BB1"/>
    <w:rsid w:val="1E4EA9C2"/>
    <w:rsid w:val="1F788062"/>
    <w:rsid w:val="1F9DADAA"/>
    <w:rsid w:val="1FA0168D"/>
    <w:rsid w:val="20109809"/>
    <w:rsid w:val="2023DEF7"/>
    <w:rsid w:val="21E044CB"/>
    <w:rsid w:val="23CE5204"/>
    <w:rsid w:val="24CD362B"/>
    <w:rsid w:val="253F1736"/>
    <w:rsid w:val="25D57B2B"/>
    <w:rsid w:val="25EEDC4B"/>
    <w:rsid w:val="263A680D"/>
    <w:rsid w:val="267AD298"/>
    <w:rsid w:val="268C5469"/>
    <w:rsid w:val="27C68E55"/>
    <w:rsid w:val="27D419F6"/>
    <w:rsid w:val="27FB9252"/>
    <w:rsid w:val="28209532"/>
    <w:rsid w:val="28226D29"/>
    <w:rsid w:val="283FDF0F"/>
    <w:rsid w:val="296B4E0A"/>
    <w:rsid w:val="29C5B395"/>
    <w:rsid w:val="2A6E3FF0"/>
    <w:rsid w:val="2B3692D8"/>
    <w:rsid w:val="2C071B0E"/>
    <w:rsid w:val="2D00864C"/>
    <w:rsid w:val="2E4E4491"/>
    <w:rsid w:val="2E50849D"/>
    <w:rsid w:val="2E8E1A4C"/>
    <w:rsid w:val="2F51C3C1"/>
    <w:rsid w:val="2FB039CE"/>
    <w:rsid w:val="300BF881"/>
    <w:rsid w:val="30EB11D7"/>
    <w:rsid w:val="31131ED9"/>
    <w:rsid w:val="311DB572"/>
    <w:rsid w:val="314E4C4C"/>
    <w:rsid w:val="31B178A6"/>
    <w:rsid w:val="31DCD556"/>
    <w:rsid w:val="3206A894"/>
    <w:rsid w:val="325C1A8D"/>
    <w:rsid w:val="336431EA"/>
    <w:rsid w:val="33C37155"/>
    <w:rsid w:val="349A6886"/>
    <w:rsid w:val="34B54659"/>
    <w:rsid w:val="351A0D80"/>
    <w:rsid w:val="352391B9"/>
    <w:rsid w:val="35CD37C2"/>
    <w:rsid w:val="369BD2AC"/>
    <w:rsid w:val="36E0999D"/>
    <w:rsid w:val="37083314"/>
    <w:rsid w:val="3825918A"/>
    <w:rsid w:val="388139F3"/>
    <w:rsid w:val="39505B11"/>
    <w:rsid w:val="39B25B73"/>
    <w:rsid w:val="3C8D3277"/>
    <w:rsid w:val="3CD91F44"/>
    <w:rsid w:val="3D13FAE5"/>
    <w:rsid w:val="3D442285"/>
    <w:rsid w:val="3DCBD7D8"/>
    <w:rsid w:val="3EC91C3C"/>
    <w:rsid w:val="3F1B327F"/>
    <w:rsid w:val="3FB32E8F"/>
    <w:rsid w:val="4037A76E"/>
    <w:rsid w:val="40C331B2"/>
    <w:rsid w:val="40EACB8A"/>
    <w:rsid w:val="410EF29D"/>
    <w:rsid w:val="4382D620"/>
    <w:rsid w:val="43AA8BB5"/>
    <w:rsid w:val="45406840"/>
    <w:rsid w:val="46387658"/>
    <w:rsid w:val="467A8377"/>
    <w:rsid w:val="470CC9C4"/>
    <w:rsid w:val="47183B53"/>
    <w:rsid w:val="47AA8C63"/>
    <w:rsid w:val="48433187"/>
    <w:rsid w:val="48BE2EE1"/>
    <w:rsid w:val="496B722C"/>
    <w:rsid w:val="49D618D6"/>
    <w:rsid w:val="4B309DC9"/>
    <w:rsid w:val="4C0AD9F3"/>
    <w:rsid w:val="4C7BF348"/>
    <w:rsid w:val="4E4F823D"/>
    <w:rsid w:val="4E56638B"/>
    <w:rsid w:val="4EBF3AD2"/>
    <w:rsid w:val="4EF65123"/>
    <w:rsid w:val="4F505552"/>
    <w:rsid w:val="4F59D0C5"/>
    <w:rsid w:val="4F59EA42"/>
    <w:rsid w:val="4FAC546D"/>
    <w:rsid w:val="502208E1"/>
    <w:rsid w:val="5045E4E8"/>
    <w:rsid w:val="5060C642"/>
    <w:rsid w:val="50CE6ACA"/>
    <w:rsid w:val="512A7051"/>
    <w:rsid w:val="5171B88A"/>
    <w:rsid w:val="51B06EFB"/>
    <w:rsid w:val="51BB0B9B"/>
    <w:rsid w:val="521C9695"/>
    <w:rsid w:val="526C2CDE"/>
    <w:rsid w:val="527D4B90"/>
    <w:rsid w:val="52FAEFEF"/>
    <w:rsid w:val="53319E4F"/>
    <w:rsid w:val="53858BB0"/>
    <w:rsid w:val="53CF8B6E"/>
    <w:rsid w:val="5677E3F7"/>
    <w:rsid w:val="56E9CB43"/>
    <w:rsid w:val="57108D23"/>
    <w:rsid w:val="579EEB98"/>
    <w:rsid w:val="57B5293F"/>
    <w:rsid w:val="57F4E93F"/>
    <w:rsid w:val="5906C8F0"/>
    <w:rsid w:val="59EC4AE0"/>
    <w:rsid w:val="5A3B3BCD"/>
    <w:rsid w:val="5A98E3AB"/>
    <w:rsid w:val="5B46162C"/>
    <w:rsid w:val="5C5EC556"/>
    <w:rsid w:val="5D2492EE"/>
    <w:rsid w:val="5D348D51"/>
    <w:rsid w:val="5DA8C6C1"/>
    <w:rsid w:val="5E50D59F"/>
    <w:rsid w:val="5E653C9C"/>
    <w:rsid w:val="5EC85493"/>
    <w:rsid w:val="5ED4BAA4"/>
    <w:rsid w:val="5F7A3D74"/>
    <w:rsid w:val="601E5A7A"/>
    <w:rsid w:val="602232D7"/>
    <w:rsid w:val="60915226"/>
    <w:rsid w:val="60A788DA"/>
    <w:rsid w:val="60A9631F"/>
    <w:rsid w:val="617A3785"/>
    <w:rsid w:val="61AF402E"/>
    <w:rsid w:val="6225C1C3"/>
    <w:rsid w:val="627495CF"/>
    <w:rsid w:val="641C75B4"/>
    <w:rsid w:val="6460306D"/>
    <w:rsid w:val="64646C5B"/>
    <w:rsid w:val="65D56E32"/>
    <w:rsid w:val="664ED889"/>
    <w:rsid w:val="673AE0C7"/>
    <w:rsid w:val="6749D987"/>
    <w:rsid w:val="67672B66"/>
    <w:rsid w:val="682D268E"/>
    <w:rsid w:val="694F26AB"/>
    <w:rsid w:val="6993E5C9"/>
    <w:rsid w:val="6A380E07"/>
    <w:rsid w:val="6ACC6588"/>
    <w:rsid w:val="6B3C7345"/>
    <w:rsid w:val="6BE504A6"/>
    <w:rsid w:val="6C2616AC"/>
    <w:rsid w:val="6C95456C"/>
    <w:rsid w:val="6D0F7575"/>
    <w:rsid w:val="6D2665B7"/>
    <w:rsid w:val="6D4AA639"/>
    <w:rsid w:val="6EBD6054"/>
    <w:rsid w:val="6EF4CF7F"/>
    <w:rsid w:val="70241A12"/>
    <w:rsid w:val="719C25DF"/>
    <w:rsid w:val="726C6DFF"/>
    <w:rsid w:val="72C8786F"/>
    <w:rsid w:val="72F6B1B9"/>
    <w:rsid w:val="730345FC"/>
    <w:rsid w:val="74FA6EBF"/>
    <w:rsid w:val="75331EB4"/>
    <w:rsid w:val="75930C21"/>
    <w:rsid w:val="75DC4EE2"/>
    <w:rsid w:val="75FAF6DF"/>
    <w:rsid w:val="7690FDB6"/>
    <w:rsid w:val="76922CA6"/>
    <w:rsid w:val="7985030F"/>
    <w:rsid w:val="7994583A"/>
    <w:rsid w:val="79C9F9FE"/>
    <w:rsid w:val="7A077A58"/>
    <w:rsid w:val="7A31B9F1"/>
    <w:rsid w:val="7A8904BA"/>
    <w:rsid w:val="7B09FBE0"/>
    <w:rsid w:val="7B0FAFA1"/>
    <w:rsid w:val="7B203BF8"/>
    <w:rsid w:val="7B7C7598"/>
    <w:rsid w:val="7BA8B727"/>
    <w:rsid w:val="7BBD3C28"/>
    <w:rsid w:val="7BC87C37"/>
    <w:rsid w:val="7BC9B26E"/>
    <w:rsid w:val="7C265D1F"/>
    <w:rsid w:val="7C51D29D"/>
    <w:rsid w:val="7D2511EB"/>
    <w:rsid w:val="7D7D8150"/>
    <w:rsid w:val="7D8C7A8F"/>
    <w:rsid w:val="7E382D14"/>
    <w:rsid w:val="7E9C3C31"/>
    <w:rsid w:val="7FCA30D6"/>
    <w:rsid w:val="7FFD865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2C80C3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2808"/>
  </w:style>
  <w:style w:type="paragraph" w:styleId="Heading1">
    <w:name w:val="heading 1"/>
    <w:basedOn w:val="Normal"/>
    <w:next w:val="Normal"/>
    <w:link w:val="Heading1Char"/>
    <w:uiPriority w:val="9"/>
    <w:qFormat/>
    <w:rsid w:val="00D855E4"/>
    <w:pPr>
      <w:keepNext/>
      <w:keepLines/>
      <w:numPr>
        <w:numId w:val="2"/>
      </w:numPr>
      <w:spacing w:before="240" w:after="240" w:line="276" w:lineRule="auto"/>
      <w:ind w:left="431" w:hanging="431"/>
      <w:jc w:val="both"/>
      <w:outlineLvl w:val="0"/>
    </w:pPr>
    <w:rPr>
      <w:rFonts w:ascii="Times New Roman" w:eastAsiaTheme="majorEastAsia" w:hAnsi="Times New Roman" w:cstheme="majorBidi"/>
      <w:b/>
      <w:bCs/>
      <w:smallCaps/>
      <w:noProof/>
      <w:sz w:val="28"/>
      <w:szCs w:val="24"/>
      <w:lang w:val="en-GB" w:eastAsia="zh-CN"/>
    </w:rPr>
  </w:style>
  <w:style w:type="paragraph" w:styleId="Heading2">
    <w:name w:val="heading 2"/>
    <w:basedOn w:val="Normal"/>
    <w:next w:val="Normal"/>
    <w:link w:val="Heading2Char"/>
    <w:uiPriority w:val="9"/>
    <w:unhideWhenUsed/>
    <w:qFormat/>
    <w:rsid w:val="00D855E4"/>
    <w:pPr>
      <w:keepNext/>
      <w:keepLines/>
      <w:numPr>
        <w:ilvl w:val="1"/>
        <w:numId w:val="2"/>
      </w:numPr>
      <w:spacing w:before="240" w:after="240" w:line="276" w:lineRule="auto"/>
      <w:ind w:left="578" w:hanging="578"/>
      <w:jc w:val="both"/>
      <w:outlineLvl w:val="1"/>
    </w:pPr>
    <w:rPr>
      <w:rFonts w:ascii="Times New Roman" w:eastAsiaTheme="majorEastAsia" w:hAnsi="Times New Roman" w:cstheme="majorBidi"/>
      <w:b/>
      <w:bCs/>
      <w:noProof/>
      <w:sz w:val="28"/>
      <w:szCs w:val="26"/>
      <w:lang w:val="en-GB" w:eastAsia="zh-CN"/>
    </w:rPr>
  </w:style>
  <w:style w:type="paragraph" w:styleId="Heading3">
    <w:name w:val="heading 3"/>
    <w:basedOn w:val="Normal"/>
    <w:next w:val="Normal"/>
    <w:link w:val="Heading3Char"/>
    <w:uiPriority w:val="9"/>
    <w:unhideWhenUsed/>
    <w:qFormat/>
    <w:rsid w:val="00D855E4"/>
    <w:pPr>
      <w:keepNext/>
      <w:keepLines/>
      <w:numPr>
        <w:ilvl w:val="2"/>
        <w:numId w:val="2"/>
      </w:numPr>
      <w:spacing w:after="240" w:line="276" w:lineRule="auto"/>
      <w:ind w:left="720"/>
      <w:jc w:val="both"/>
      <w:outlineLvl w:val="2"/>
    </w:pPr>
    <w:rPr>
      <w:rFonts w:ascii="Times New Roman" w:eastAsiaTheme="minorEastAsia" w:hAnsi="Times New Roman" w:cstheme="majorBidi"/>
      <w:b/>
      <w:bCs/>
      <w:sz w:val="24"/>
      <w:lang w:val="en-GB" w:eastAsia="zh-CN"/>
    </w:rPr>
  </w:style>
  <w:style w:type="paragraph" w:styleId="Heading4">
    <w:name w:val="heading 4"/>
    <w:basedOn w:val="Normal"/>
    <w:next w:val="Normal"/>
    <w:link w:val="Heading4Char"/>
    <w:uiPriority w:val="9"/>
    <w:unhideWhenUsed/>
    <w:qFormat/>
    <w:rsid w:val="005D54C6"/>
    <w:pPr>
      <w:keepNext/>
      <w:keepLines/>
      <w:numPr>
        <w:ilvl w:val="3"/>
        <w:numId w:val="2"/>
      </w:numPr>
      <w:spacing w:after="240" w:line="276" w:lineRule="auto"/>
      <w:ind w:left="1724" w:hanging="862"/>
      <w:jc w:val="both"/>
      <w:outlineLvl w:val="3"/>
    </w:pPr>
    <w:rPr>
      <w:rFonts w:ascii="Times New Roman" w:eastAsiaTheme="minorEastAsia" w:hAnsi="Times New Roman" w:cstheme="majorBidi"/>
      <w:b/>
      <w:bCs/>
      <w:i/>
      <w:iCs/>
      <w:sz w:val="24"/>
      <w:lang w:val="en-GB" w:eastAsia="zh-CN"/>
    </w:rPr>
  </w:style>
  <w:style w:type="paragraph" w:styleId="Heading5">
    <w:name w:val="heading 5"/>
    <w:basedOn w:val="Normal"/>
    <w:next w:val="Normal"/>
    <w:link w:val="Heading5Char"/>
    <w:uiPriority w:val="9"/>
    <w:unhideWhenUsed/>
    <w:qFormat/>
    <w:rsid w:val="005D54C6"/>
    <w:pPr>
      <w:keepNext/>
      <w:keepLines/>
      <w:numPr>
        <w:ilvl w:val="4"/>
        <w:numId w:val="2"/>
      </w:numPr>
      <w:spacing w:after="240" w:line="276" w:lineRule="auto"/>
      <w:ind w:left="2268" w:hanging="1134"/>
      <w:jc w:val="both"/>
      <w:outlineLvl w:val="4"/>
    </w:pPr>
    <w:rPr>
      <w:rFonts w:ascii="Times New Roman" w:eastAsiaTheme="majorEastAsia" w:hAnsi="Times New Roman" w:cstheme="majorBidi"/>
      <w:b/>
      <w:lang w:val="en-GB" w:eastAsia="zh-CN"/>
    </w:rPr>
  </w:style>
  <w:style w:type="paragraph" w:styleId="Heading6">
    <w:name w:val="heading 6"/>
    <w:basedOn w:val="Normal"/>
    <w:next w:val="Normal"/>
    <w:link w:val="Heading6Char"/>
    <w:uiPriority w:val="9"/>
    <w:semiHidden/>
    <w:unhideWhenUsed/>
    <w:qFormat/>
    <w:rsid w:val="005D54C6"/>
    <w:pPr>
      <w:keepNext/>
      <w:keepLines/>
      <w:numPr>
        <w:ilvl w:val="5"/>
        <w:numId w:val="2"/>
      </w:numPr>
      <w:spacing w:before="200" w:after="0" w:line="276" w:lineRule="auto"/>
      <w:jc w:val="both"/>
      <w:outlineLvl w:val="5"/>
    </w:pPr>
    <w:rPr>
      <w:rFonts w:asciiTheme="majorHAnsi" w:eastAsiaTheme="majorEastAsia" w:hAnsiTheme="majorHAnsi" w:cstheme="majorBidi"/>
      <w:i/>
      <w:iCs/>
      <w:color w:val="1F3763" w:themeColor="accent1" w:themeShade="7F"/>
      <w:sz w:val="24"/>
      <w:lang w:val="en-GB" w:eastAsia="zh-CN"/>
    </w:rPr>
  </w:style>
  <w:style w:type="paragraph" w:styleId="Heading7">
    <w:name w:val="heading 7"/>
    <w:basedOn w:val="Normal"/>
    <w:next w:val="Normal"/>
    <w:link w:val="Heading7Char"/>
    <w:uiPriority w:val="9"/>
    <w:semiHidden/>
    <w:unhideWhenUsed/>
    <w:qFormat/>
    <w:rsid w:val="005D54C6"/>
    <w:pPr>
      <w:keepNext/>
      <w:keepLines/>
      <w:numPr>
        <w:ilvl w:val="6"/>
        <w:numId w:val="2"/>
      </w:numPr>
      <w:spacing w:before="200" w:after="0" w:line="276" w:lineRule="auto"/>
      <w:jc w:val="both"/>
      <w:outlineLvl w:val="6"/>
    </w:pPr>
    <w:rPr>
      <w:rFonts w:asciiTheme="majorHAnsi" w:eastAsiaTheme="majorEastAsia" w:hAnsiTheme="majorHAnsi" w:cstheme="majorBidi"/>
      <w:i/>
      <w:iCs/>
      <w:color w:val="404040" w:themeColor="text1" w:themeTint="BF"/>
      <w:sz w:val="24"/>
      <w:lang w:val="en-GB" w:eastAsia="zh-CN"/>
    </w:rPr>
  </w:style>
  <w:style w:type="paragraph" w:styleId="Heading8">
    <w:name w:val="heading 8"/>
    <w:basedOn w:val="Normal"/>
    <w:next w:val="Normal"/>
    <w:link w:val="Heading8Char"/>
    <w:uiPriority w:val="9"/>
    <w:semiHidden/>
    <w:unhideWhenUsed/>
    <w:qFormat/>
    <w:rsid w:val="005D54C6"/>
    <w:pPr>
      <w:keepNext/>
      <w:keepLines/>
      <w:numPr>
        <w:ilvl w:val="7"/>
        <w:numId w:val="2"/>
      </w:numPr>
      <w:spacing w:before="200" w:after="0" w:line="276" w:lineRule="auto"/>
      <w:jc w:val="both"/>
      <w:outlineLvl w:val="7"/>
    </w:pPr>
    <w:rPr>
      <w:rFonts w:asciiTheme="majorHAnsi" w:eastAsiaTheme="majorEastAsia" w:hAnsiTheme="majorHAnsi" w:cstheme="majorBidi"/>
      <w:color w:val="404040" w:themeColor="text1" w:themeTint="BF"/>
      <w:sz w:val="20"/>
      <w:szCs w:val="20"/>
      <w:lang w:val="en-GB" w:eastAsia="zh-CN"/>
    </w:rPr>
  </w:style>
  <w:style w:type="paragraph" w:styleId="Heading9">
    <w:name w:val="heading 9"/>
    <w:basedOn w:val="Normal"/>
    <w:next w:val="Normal"/>
    <w:link w:val="Heading9Char"/>
    <w:uiPriority w:val="9"/>
    <w:semiHidden/>
    <w:unhideWhenUsed/>
    <w:qFormat/>
    <w:rsid w:val="005D54C6"/>
    <w:pPr>
      <w:keepNext/>
      <w:keepLines/>
      <w:numPr>
        <w:ilvl w:val="8"/>
        <w:numId w:val="2"/>
      </w:numPr>
      <w:spacing w:before="200" w:after="0" w:line="276" w:lineRule="auto"/>
      <w:jc w:val="both"/>
      <w:outlineLvl w:val="8"/>
    </w:pPr>
    <w:rPr>
      <w:rFonts w:asciiTheme="majorHAnsi" w:eastAsiaTheme="majorEastAsia" w:hAnsiTheme="majorHAnsi" w:cstheme="majorBidi"/>
      <w:i/>
      <w:iCs/>
      <w:color w:val="404040" w:themeColor="text1" w:themeTint="BF"/>
      <w:sz w:val="20"/>
      <w:szCs w:val="20"/>
      <w:lang w:val="en-GB"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54C6"/>
    <w:pPr>
      <w:ind w:left="720"/>
      <w:contextualSpacing/>
    </w:pPr>
  </w:style>
  <w:style w:type="character" w:customStyle="1" w:styleId="Heading1Char">
    <w:name w:val="Heading 1 Char"/>
    <w:basedOn w:val="DefaultParagraphFont"/>
    <w:link w:val="Heading1"/>
    <w:uiPriority w:val="9"/>
    <w:rsid w:val="00D855E4"/>
    <w:rPr>
      <w:rFonts w:ascii="Times New Roman" w:eastAsiaTheme="majorEastAsia" w:hAnsi="Times New Roman" w:cstheme="majorBidi"/>
      <w:b/>
      <w:bCs/>
      <w:smallCaps/>
      <w:noProof/>
      <w:sz w:val="28"/>
      <w:szCs w:val="24"/>
      <w:lang w:val="en-GB" w:eastAsia="zh-CN"/>
    </w:rPr>
  </w:style>
  <w:style w:type="character" w:customStyle="1" w:styleId="Heading2Char">
    <w:name w:val="Heading 2 Char"/>
    <w:basedOn w:val="DefaultParagraphFont"/>
    <w:link w:val="Heading2"/>
    <w:uiPriority w:val="9"/>
    <w:rsid w:val="00D855E4"/>
    <w:rPr>
      <w:rFonts w:ascii="Times New Roman" w:eastAsiaTheme="majorEastAsia" w:hAnsi="Times New Roman" w:cstheme="majorBidi"/>
      <w:b/>
      <w:bCs/>
      <w:noProof/>
      <w:sz w:val="28"/>
      <w:szCs w:val="26"/>
      <w:lang w:val="en-GB" w:eastAsia="zh-CN"/>
    </w:rPr>
  </w:style>
  <w:style w:type="character" w:customStyle="1" w:styleId="Heading3Char">
    <w:name w:val="Heading 3 Char"/>
    <w:basedOn w:val="DefaultParagraphFont"/>
    <w:link w:val="Heading3"/>
    <w:uiPriority w:val="9"/>
    <w:rsid w:val="00D855E4"/>
    <w:rPr>
      <w:rFonts w:ascii="Times New Roman" w:eastAsiaTheme="minorEastAsia" w:hAnsi="Times New Roman" w:cstheme="majorBidi"/>
      <w:b/>
      <w:bCs/>
      <w:sz w:val="24"/>
      <w:lang w:val="en-GB" w:eastAsia="zh-CN"/>
    </w:rPr>
  </w:style>
  <w:style w:type="character" w:customStyle="1" w:styleId="Heading4Char">
    <w:name w:val="Heading 4 Char"/>
    <w:basedOn w:val="DefaultParagraphFont"/>
    <w:link w:val="Heading4"/>
    <w:uiPriority w:val="9"/>
    <w:rsid w:val="005D54C6"/>
    <w:rPr>
      <w:rFonts w:ascii="Times New Roman" w:eastAsiaTheme="minorEastAsia" w:hAnsi="Times New Roman" w:cstheme="majorBidi"/>
      <w:b/>
      <w:bCs/>
      <w:i/>
      <w:iCs/>
      <w:sz w:val="24"/>
      <w:lang w:val="en-GB" w:eastAsia="zh-CN"/>
    </w:rPr>
  </w:style>
  <w:style w:type="character" w:customStyle="1" w:styleId="Heading5Char">
    <w:name w:val="Heading 5 Char"/>
    <w:basedOn w:val="DefaultParagraphFont"/>
    <w:link w:val="Heading5"/>
    <w:uiPriority w:val="9"/>
    <w:rsid w:val="005D54C6"/>
    <w:rPr>
      <w:rFonts w:ascii="Times New Roman" w:eastAsiaTheme="majorEastAsia" w:hAnsi="Times New Roman" w:cstheme="majorBidi"/>
      <w:b/>
      <w:lang w:val="en-GB" w:eastAsia="zh-CN"/>
    </w:rPr>
  </w:style>
  <w:style w:type="character" w:customStyle="1" w:styleId="Heading6Char">
    <w:name w:val="Heading 6 Char"/>
    <w:basedOn w:val="DefaultParagraphFont"/>
    <w:link w:val="Heading6"/>
    <w:uiPriority w:val="9"/>
    <w:semiHidden/>
    <w:rsid w:val="005D54C6"/>
    <w:rPr>
      <w:rFonts w:asciiTheme="majorHAnsi" w:eastAsiaTheme="majorEastAsia" w:hAnsiTheme="majorHAnsi" w:cstheme="majorBidi"/>
      <w:i/>
      <w:iCs/>
      <w:color w:val="1F3763" w:themeColor="accent1" w:themeShade="7F"/>
      <w:sz w:val="24"/>
      <w:lang w:val="en-GB" w:eastAsia="zh-CN"/>
    </w:rPr>
  </w:style>
  <w:style w:type="character" w:customStyle="1" w:styleId="Heading7Char">
    <w:name w:val="Heading 7 Char"/>
    <w:basedOn w:val="DefaultParagraphFont"/>
    <w:link w:val="Heading7"/>
    <w:uiPriority w:val="9"/>
    <w:semiHidden/>
    <w:rsid w:val="005D54C6"/>
    <w:rPr>
      <w:rFonts w:asciiTheme="majorHAnsi" w:eastAsiaTheme="majorEastAsia" w:hAnsiTheme="majorHAnsi" w:cstheme="majorBidi"/>
      <w:i/>
      <w:iCs/>
      <w:color w:val="404040" w:themeColor="text1" w:themeTint="BF"/>
      <w:sz w:val="24"/>
      <w:lang w:val="en-GB" w:eastAsia="zh-CN"/>
    </w:rPr>
  </w:style>
  <w:style w:type="character" w:customStyle="1" w:styleId="Heading8Char">
    <w:name w:val="Heading 8 Char"/>
    <w:basedOn w:val="DefaultParagraphFont"/>
    <w:link w:val="Heading8"/>
    <w:uiPriority w:val="9"/>
    <w:semiHidden/>
    <w:rsid w:val="005D54C6"/>
    <w:rPr>
      <w:rFonts w:asciiTheme="majorHAnsi" w:eastAsiaTheme="majorEastAsia" w:hAnsiTheme="majorHAnsi" w:cstheme="majorBidi"/>
      <w:color w:val="404040" w:themeColor="text1" w:themeTint="BF"/>
      <w:sz w:val="20"/>
      <w:szCs w:val="20"/>
      <w:lang w:val="en-GB" w:eastAsia="zh-CN"/>
    </w:rPr>
  </w:style>
  <w:style w:type="character" w:customStyle="1" w:styleId="Heading9Char">
    <w:name w:val="Heading 9 Char"/>
    <w:basedOn w:val="DefaultParagraphFont"/>
    <w:link w:val="Heading9"/>
    <w:uiPriority w:val="9"/>
    <w:semiHidden/>
    <w:rsid w:val="005D54C6"/>
    <w:rPr>
      <w:rFonts w:asciiTheme="majorHAnsi" w:eastAsiaTheme="majorEastAsia" w:hAnsiTheme="majorHAnsi" w:cstheme="majorBidi"/>
      <w:i/>
      <w:iCs/>
      <w:color w:val="404040" w:themeColor="text1" w:themeTint="BF"/>
      <w:sz w:val="20"/>
      <w:szCs w:val="20"/>
      <w:lang w:val="en-GB" w:eastAsia="zh-CN"/>
    </w:rPr>
  </w:style>
  <w:style w:type="paragraph" w:styleId="FootnoteText">
    <w:name w:val="footnote text"/>
    <w:aliases w:val="Fußnotentextf,Fußnote,Fuﬂnotentextf,Footnote Text Blue,Geneva 9,Font: Geneva 9,Boston 10,f,Footnote Text Char Char Char Char Char Char,Tekst przypisu,Schriftart: 9 pt,Schriftart: 10 pt,Schriftart: 8 pt,WB-Fußnotentext,fn,Fotnotstext1,Char"/>
    <w:basedOn w:val="Normal"/>
    <w:link w:val="FootnoteTextChar"/>
    <w:uiPriority w:val="99"/>
    <w:unhideWhenUsed/>
    <w:qFormat/>
    <w:rsid w:val="005D54C6"/>
    <w:pPr>
      <w:spacing w:after="0" w:line="240" w:lineRule="auto"/>
    </w:pPr>
    <w:rPr>
      <w:rFonts w:ascii="Times New Roman" w:hAnsi="Times New Roman"/>
      <w:sz w:val="20"/>
      <w:szCs w:val="20"/>
      <w:lang w:val="en-GB"/>
    </w:rPr>
  </w:style>
  <w:style w:type="character" w:customStyle="1" w:styleId="FootnoteTextChar">
    <w:name w:val="Footnote Text Char"/>
    <w:aliases w:val="Fußnotentextf Char,Fußnote Char,Fuﬂnotentextf Char,Footnote Text Blue Char,Geneva 9 Char,Font: Geneva 9 Char,Boston 10 Char,f Char,Footnote Text Char Char Char Char Char Char Char,Tekst przypisu Char,Schriftart: 9 pt Char,fn Char"/>
    <w:basedOn w:val="DefaultParagraphFont"/>
    <w:link w:val="FootnoteText"/>
    <w:uiPriority w:val="99"/>
    <w:qFormat/>
    <w:rsid w:val="005D54C6"/>
    <w:rPr>
      <w:rFonts w:ascii="Times New Roman" w:hAnsi="Times New Roman"/>
      <w:sz w:val="20"/>
      <w:szCs w:val="20"/>
      <w:lang w:val="en-GB"/>
    </w:rPr>
  </w:style>
  <w:style w:type="character" w:styleId="FootnoteReference">
    <w:name w:val="footnote reference"/>
    <w:aliases w:val="Footnote Reference Number,Footnote Reference_LVL6,Footnote Reference_LVL61,Footnote Reference_LVL62,Footnote Reference_LVL63,Footnote Reference_LVL64,SUPERS,Footnote Reference Superscript,BVI fnr,Footnote symbol,Footnote sign, BVI fnr"/>
    <w:basedOn w:val="DefaultParagraphFont"/>
    <w:link w:val="BVIfnr"/>
    <w:unhideWhenUsed/>
    <w:qFormat/>
    <w:rsid w:val="005D54C6"/>
    <w:rPr>
      <w:vertAlign w:val="superscript"/>
    </w:rPr>
  </w:style>
  <w:style w:type="character" w:customStyle="1" w:styleId="outputecliaff">
    <w:name w:val="outputecliaff"/>
    <w:basedOn w:val="DefaultParagraphFont"/>
    <w:rsid w:val="005D54C6"/>
  </w:style>
  <w:style w:type="character" w:styleId="Hyperlink">
    <w:name w:val="Hyperlink"/>
    <w:basedOn w:val="DefaultParagraphFont"/>
    <w:uiPriority w:val="99"/>
    <w:unhideWhenUsed/>
    <w:qFormat/>
    <w:rsid w:val="005D54C6"/>
    <w:rPr>
      <w:color w:val="0563C1" w:themeColor="hyperlink"/>
      <w:u w:val="single"/>
    </w:rPr>
  </w:style>
  <w:style w:type="character" w:customStyle="1" w:styleId="UnresolvedMention">
    <w:name w:val="Unresolved Mention"/>
    <w:basedOn w:val="DefaultParagraphFont"/>
    <w:uiPriority w:val="99"/>
    <w:semiHidden/>
    <w:unhideWhenUsed/>
    <w:rsid w:val="005D54C6"/>
    <w:rPr>
      <w:color w:val="605E5C"/>
      <w:shd w:val="clear" w:color="auto" w:fill="E1DFDD"/>
    </w:rPr>
  </w:style>
  <w:style w:type="paragraph" w:styleId="CommentText">
    <w:name w:val="annotation text"/>
    <w:basedOn w:val="Normal"/>
    <w:link w:val="CommentTextChar"/>
    <w:uiPriority w:val="99"/>
    <w:unhideWhenUsed/>
    <w:rsid w:val="00D35127"/>
    <w:pPr>
      <w:spacing w:line="240" w:lineRule="auto"/>
    </w:pPr>
    <w:rPr>
      <w:sz w:val="20"/>
      <w:szCs w:val="20"/>
      <w:lang w:val="en-GB"/>
    </w:rPr>
  </w:style>
  <w:style w:type="character" w:customStyle="1" w:styleId="CommentTextChar">
    <w:name w:val="Comment Text Char"/>
    <w:basedOn w:val="DefaultParagraphFont"/>
    <w:link w:val="CommentText"/>
    <w:uiPriority w:val="99"/>
    <w:rsid w:val="00D35127"/>
    <w:rPr>
      <w:sz w:val="20"/>
      <w:szCs w:val="20"/>
      <w:lang w:val="en-GB"/>
    </w:rPr>
  </w:style>
  <w:style w:type="character" w:styleId="CommentReference">
    <w:name w:val="annotation reference"/>
    <w:basedOn w:val="DefaultParagraphFont"/>
    <w:uiPriority w:val="99"/>
    <w:semiHidden/>
    <w:unhideWhenUsed/>
    <w:rsid w:val="00D35127"/>
    <w:rPr>
      <w:sz w:val="16"/>
      <w:szCs w:val="16"/>
    </w:rPr>
  </w:style>
  <w:style w:type="character" w:customStyle="1" w:styleId="normaltextrun">
    <w:name w:val="normaltextrun"/>
    <w:basedOn w:val="DefaultParagraphFont"/>
    <w:rsid w:val="00D35127"/>
  </w:style>
  <w:style w:type="character" w:customStyle="1" w:styleId="superscript">
    <w:name w:val="superscript"/>
    <w:basedOn w:val="DefaultParagraphFont"/>
    <w:rsid w:val="00D35127"/>
  </w:style>
  <w:style w:type="character" w:customStyle="1" w:styleId="markedcontent">
    <w:name w:val="markedcontent"/>
    <w:basedOn w:val="DefaultParagraphFont"/>
    <w:rsid w:val="0063404A"/>
  </w:style>
  <w:style w:type="paragraph" w:styleId="NormalWeb">
    <w:name w:val="Normal (Web)"/>
    <w:basedOn w:val="Normal"/>
    <w:uiPriority w:val="99"/>
    <w:unhideWhenUsed/>
    <w:rsid w:val="00F32DAC"/>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character" w:styleId="FollowedHyperlink">
    <w:name w:val="FollowedHyperlink"/>
    <w:basedOn w:val="DefaultParagraphFont"/>
    <w:uiPriority w:val="99"/>
    <w:semiHidden/>
    <w:unhideWhenUsed/>
    <w:rsid w:val="001B132C"/>
    <w:rPr>
      <w:color w:val="954F72" w:themeColor="followedHyperlink"/>
      <w:u w:val="single"/>
    </w:rPr>
  </w:style>
  <w:style w:type="paragraph" w:customStyle="1" w:styleId="BVIfnr">
    <w:name w:val="BVI fnr Знак Знак"/>
    <w:aliases w:val="BVI fnr Car Car Знак Знак,BVI fnr Char Car Car Car Знак Знак,BVI fnr Char Car Car Car Char Знак Знак,BVI fnr Car Знак Знак,BVI fnr Car Car Car Car Знак Знак,BVI fnr Char Char Знак Знак,ftref,16 Point,R"/>
    <w:basedOn w:val="Normal"/>
    <w:link w:val="FootnoteReference"/>
    <w:rsid w:val="00D45EF8"/>
    <w:pPr>
      <w:spacing w:line="240" w:lineRule="exact"/>
    </w:pPr>
    <w:rPr>
      <w:vertAlign w:val="superscript"/>
    </w:rPr>
  </w:style>
  <w:style w:type="paragraph" w:customStyle="1" w:styleId="5Normal">
    <w:name w:val="5 Normal"/>
    <w:rsid w:val="00D45EF8"/>
    <w:pPr>
      <w:pBdr>
        <w:top w:val="nil"/>
        <w:left w:val="nil"/>
        <w:bottom w:val="nil"/>
        <w:right w:val="nil"/>
        <w:between w:val="nil"/>
        <w:bar w:val="nil"/>
      </w:pBd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line="240" w:lineRule="auto"/>
      <w:ind w:right="57"/>
      <w:jc w:val="both"/>
    </w:pPr>
    <w:rPr>
      <w:rFonts w:ascii="Verdana" w:eastAsia="Arial Unicode MS" w:hAnsi="Verdana" w:cs="Arial Unicode MS"/>
      <w:color w:val="000000"/>
      <w:spacing w:val="-1"/>
      <w:sz w:val="20"/>
      <w:szCs w:val="20"/>
      <w:u w:color="000000"/>
      <w:bdr w:val="nil"/>
    </w:rPr>
  </w:style>
  <w:style w:type="paragraph" w:customStyle="1" w:styleId="Briefinglist1">
    <w:name w:val="Briefing list 1"/>
    <w:basedOn w:val="Normal"/>
    <w:link w:val="Briefinglist1Char"/>
    <w:qFormat/>
    <w:rsid w:val="00C0377F"/>
    <w:pPr>
      <w:keepLines/>
      <w:tabs>
        <w:tab w:val="num" w:pos="284"/>
      </w:tabs>
      <w:spacing w:after="120" w:line="240" w:lineRule="auto"/>
      <w:ind w:left="284" w:hanging="284"/>
      <w:jc w:val="both"/>
    </w:pPr>
    <w:rPr>
      <w:rFonts w:ascii="Arial" w:eastAsia="Times New Roman" w:hAnsi="Arial" w:cs="Arial"/>
      <w:szCs w:val="24"/>
      <w:lang w:val="en-GB"/>
    </w:rPr>
  </w:style>
  <w:style w:type="character" w:customStyle="1" w:styleId="Briefinglist1Char">
    <w:name w:val="Briefing list 1 Char"/>
    <w:link w:val="Briefinglist1"/>
    <w:qFormat/>
    <w:locked/>
    <w:rsid w:val="00C0377F"/>
    <w:rPr>
      <w:rFonts w:ascii="Arial" w:eastAsia="Times New Roman" w:hAnsi="Arial" w:cs="Arial"/>
      <w:szCs w:val="24"/>
      <w:lang w:val="en-GB"/>
    </w:rPr>
  </w:style>
  <w:style w:type="paragraph" w:styleId="CommentSubject">
    <w:name w:val="annotation subject"/>
    <w:basedOn w:val="CommentText"/>
    <w:next w:val="CommentText"/>
    <w:link w:val="CommentSubjectChar"/>
    <w:uiPriority w:val="99"/>
    <w:semiHidden/>
    <w:unhideWhenUsed/>
    <w:rsid w:val="00F168BA"/>
    <w:rPr>
      <w:b/>
      <w:bCs/>
      <w:lang w:val="en-US"/>
    </w:rPr>
  </w:style>
  <w:style w:type="character" w:customStyle="1" w:styleId="CommentSubjectChar">
    <w:name w:val="Comment Subject Char"/>
    <w:basedOn w:val="CommentTextChar"/>
    <w:link w:val="CommentSubject"/>
    <w:uiPriority w:val="99"/>
    <w:semiHidden/>
    <w:rsid w:val="00F168BA"/>
    <w:rPr>
      <w:b/>
      <w:bCs/>
      <w:sz w:val="20"/>
      <w:szCs w:val="20"/>
      <w:lang w:val="en-GB"/>
    </w:rPr>
  </w:style>
  <w:style w:type="paragraph" w:styleId="Revision">
    <w:name w:val="Revision"/>
    <w:hidden/>
    <w:uiPriority w:val="99"/>
    <w:semiHidden/>
    <w:rsid w:val="007417A5"/>
    <w:pPr>
      <w:spacing w:after="0" w:line="240" w:lineRule="auto"/>
    </w:pPr>
  </w:style>
  <w:style w:type="paragraph" w:styleId="Header">
    <w:name w:val="header"/>
    <w:basedOn w:val="Normal"/>
    <w:link w:val="HeaderChar"/>
    <w:uiPriority w:val="99"/>
    <w:unhideWhenUsed/>
    <w:rsid w:val="00D17D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7D2E"/>
  </w:style>
  <w:style w:type="paragraph" w:styleId="Footer">
    <w:name w:val="footer"/>
    <w:basedOn w:val="Normal"/>
    <w:link w:val="FooterChar"/>
    <w:uiPriority w:val="99"/>
    <w:unhideWhenUsed/>
    <w:rsid w:val="00D17D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7D2E"/>
  </w:style>
  <w:style w:type="character" w:styleId="Strong">
    <w:name w:val="Strong"/>
    <w:basedOn w:val="DefaultParagraphFont"/>
    <w:uiPriority w:val="22"/>
    <w:qFormat/>
    <w:rsid w:val="005F4DE6"/>
    <w:rPr>
      <w:b/>
      <w:bCs/>
    </w:rPr>
  </w:style>
  <w:style w:type="character" w:customStyle="1" w:styleId="Mention">
    <w:name w:val="Mention"/>
    <w:basedOn w:val="DefaultParagraphFont"/>
    <w:uiPriority w:val="99"/>
    <w:unhideWhenUsed/>
    <w:rPr>
      <w:color w:val="2B579A"/>
      <w:shd w:val="clear" w:color="auto" w:fill="E6E6E6"/>
    </w:rPr>
  </w:style>
  <w:style w:type="table" w:styleId="TableGrid">
    <w:name w:val="Table Grid"/>
    <w:basedOn w:val="TableNormal"/>
    <w:uiPriority w:val="39"/>
    <w:rsid w:val="009214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airetitle">
    <w:name w:val="affaire_title"/>
    <w:basedOn w:val="DefaultParagraphFont"/>
    <w:rsid w:val="009245CD"/>
  </w:style>
  <w:style w:type="paragraph" w:styleId="BodyText">
    <w:name w:val="Body Text"/>
    <w:basedOn w:val="Normal"/>
    <w:link w:val="BodyTextChar"/>
    <w:uiPriority w:val="99"/>
    <w:semiHidden/>
    <w:unhideWhenUsed/>
    <w:rsid w:val="00CC7F51"/>
    <w:pPr>
      <w:spacing w:after="120"/>
    </w:pPr>
  </w:style>
  <w:style w:type="character" w:customStyle="1" w:styleId="BodyTextChar">
    <w:name w:val="Body Text Char"/>
    <w:basedOn w:val="DefaultParagraphFont"/>
    <w:link w:val="BodyText"/>
    <w:uiPriority w:val="99"/>
    <w:semiHidden/>
    <w:rsid w:val="00CC7F51"/>
  </w:style>
  <w:style w:type="character" w:customStyle="1" w:styleId="Marker">
    <w:name w:val="Marker"/>
    <w:basedOn w:val="DefaultParagraphFont"/>
    <w:rsid w:val="00B0133B"/>
    <w:rPr>
      <w:color w:val="0000FF"/>
      <w:shd w:val="clear" w:color="auto" w:fill="auto"/>
    </w:rPr>
  </w:style>
  <w:style w:type="paragraph" w:customStyle="1" w:styleId="Pagedecouverture">
    <w:name w:val="Page de couverture"/>
    <w:basedOn w:val="Normal"/>
    <w:next w:val="Normal"/>
    <w:rsid w:val="00B0133B"/>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rsid w:val="00B0133B"/>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B0133B"/>
    <w:rPr>
      <w:rFonts w:ascii="Times New Roman" w:hAnsi="Times New Roman" w:cs="Times New Roman"/>
      <w:sz w:val="24"/>
    </w:rPr>
  </w:style>
  <w:style w:type="paragraph" w:customStyle="1" w:styleId="FooterSensitivity">
    <w:name w:val="Footer Sensitivity"/>
    <w:basedOn w:val="Normal"/>
    <w:link w:val="FooterSensitivityChar"/>
    <w:rsid w:val="00B0133B"/>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sid w:val="00B0133B"/>
    <w:rPr>
      <w:rFonts w:ascii="Times New Roman" w:hAnsi="Times New Roman" w:cs="Times New Roman"/>
      <w:b/>
      <w:sz w:val="32"/>
    </w:rPr>
  </w:style>
  <w:style w:type="paragraph" w:customStyle="1" w:styleId="HeaderCoverPage">
    <w:name w:val="Header Cover Page"/>
    <w:basedOn w:val="Normal"/>
    <w:link w:val="HeaderCoverPageChar"/>
    <w:rsid w:val="00B0133B"/>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B0133B"/>
    <w:rPr>
      <w:rFonts w:ascii="Times New Roman" w:hAnsi="Times New Roman" w:cs="Times New Roman"/>
      <w:sz w:val="24"/>
    </w:rPr>
  </w:style>
  <w:style w:type="paragraph" w:customStyle="1" w:styleId="HeaderSensitivity">
    <w:name w:val="Header Sensitivity"/>
    <w:basedOn w:val="Normal"/>
    <w:link w:val="HeaderSensitivityChar"/>
    <w:rsid w:val="00B0133B"/>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sid w:val="00B0133B"/>
    <w:rPr>
      <w:rFonts w:ascii="Times New Roman" w:hAnsi="Times New Roman" w:cs="Times New Roman"/>
      <w:b/>
      <w:sz w:val="32"/>
    </w:rPr>
  </w:style>
  <w:style w:type="paragraph" w:customStyle="1" w:styleId="HeaderSensitivityRight">
    <w:name w:val="Header Sensitivity Right"/>
    <w:basedOn w:val="Normal"/>
    <w:link w:val="HeaderSensitivityRightChar"/>
    <w:rsid w:val="00B0133B"/>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sid w:val="00B0133B"/>
    <w:rPr>
      <w:rFonts w:ascii="Times New Roman" w:hAnsi="Times New Roman" w:cs="Times New Roman"/>
      <w:sz w:val="28"/>
    </w:rPr>
  </w:style>
  <w:style w:type="character" w:customStyle="1" w:styleId="scxw188203039">
    <w:name w:val="scxw188203039"/>
    <w:basedOn w:val="DefaultParagraphFont"/>
    <w:rsid w:val="005E6BDD"/>
  </w:style>
  <w:style w:type="character" w:customStyle="1" w:styleId="eop">
    <w:name w:val="eop"/>
    <w:basedOn w:val="DefaultParagraphFont"/>
    <w:rsid w:val="005E6BDD"/>
  </w:style>
  <w:style w:type="paragraph" w:styleId="TOCHeading">
    <w:name w:val="TOC Heading"/>
    <w:basedOn w:val="Heading1"/>
    <w:next w:val="Normal"/>
    <w:uiPriority w:val="39"/>
    <w:unhideWhenUsed/>
    <w:qFormat/>
    <w:rsid w:val="000A06C9"/>
    <w:pPr>
      <w:numPr>
        <w:numId w:val="0"/>
      </w:numPr>
      <w:spacing w:after="0" w:line="259" w:lineRule="auto"/>
      <w:jc w:val="left"/>
      <w:outlineLvl w:val="9"/>
    </w:pPr>
    <w:rPr>
      <w:rFonts w:asciiTheme="majorHAnsi" w:hAnsiTheme="majorHAnsi"/>
      <w:b w:val="0"/>
      <w:bCs w:val="0"/>
      <w:smallCaps w:val="0"/>
      <w:noProof w:val="0"/>
      <w:color w:val="2F5496" w:themeColor="accent1" w:themeShade="BF"/>
      <w:sz w:val="32"/>
      <w:szCs w:val="32"/>
      <w:lang w:val="en-US" w:eastAsia="en-US"/>
    </w:rPr>
  </w:style>
  <w:style w:type="paragraph" w:styleId="TOC1">
    <w:name w:val="toc 1"/>
    <w:basedOn w:val="Normal"/>
    <w:next w:val="Normal"/>
    <w:autoRedefine/>
    <w:uiPriority w:val="39"/>
    <w:unhideWhenUsed/>
    <w:rsid w:val="00030350"/>
    <w:pPr>
      <w:tabs>
        <w:tab w:val="left" w:pos="440"/>
        <w:tab w:val="right" w:pos="9350"/>
      </w:tabs>
      <w:spacing w:before="360" w:after="0"/>
    </w:pPr>
    <w:rPr>
      <w:rFonts w:asciiTheme="majorHAnsi" w:hAnsiTheme="majorHAnsi" w:cstheme="majorHAnsi"/>
      <w:b/>
      <w:bCs/>
      <w:caps/>
      <w:sz w:val="24"/>
      <w:szCs w:val="24"/>
    </w:rPr>
  </w:style>
  <w:style w:type="paragraph" w:styleId="TOC2">
    <w:name w:val="toc 2"/>
    <w:basedOn w:val="Normal"/>
    <w:next w:val="Normal"/>
    <w:autoRedefine/>
    <w:uiPriority w:val="39"/>
    <w:unhideWhenUsed/>
    <w:rsid w:val="00DF48B6"/>
    <w:pPr>
      <w:spacing w:before="240" w:after="0"/>
    </w:pPr>
    <w:rPr>
      <w:rFonts w:cstheme="minorHAnsi"/>
      <w:b/>
      <w:bCs/>
      <w:sz w:val="20"/>
      <w:szCs w:val="20"/>
    </w:rPr>
  </w:style>
  <w:style w:type="paragraph" w:styleId="TOC3">
    <w:name w:val="toc 3"/>
    <w:basedOn w:val="Normal"/>
    <w:next w:val="Normal"/>
    <w:autoRedefine/>
    <w:uiPriority w:val="39"/>
    <w:unhideWhenUsed/>
    <w:rsid w:val="000A06C9"/>
    <w:pPr>
      <w:spacing w:after="0"/>
      <w:ind w:left="220"/>
    </w:pPr>
    <w:rPr>
      <w:rFonts w:cstheme="minorHAnsi"/>
      <w:sz w:val="20"/>
      <w:szCs w:val="20"/>
    </w:rPr>
  </w:style>
  <w:style w:type="paragraph" w:styleId="TOC4">
    <w:name w:val="toc 4"/>
    <w:basedOn w:val="Normal"/>
    <w:next w:val="Normal"/>
    <w:autoRedefine/>
    <w:uiPriority w:val="39"/>
    <w:unhideWhenUsed/>
    <w:rsid w:val="000A06C9"/>
    <w:pPr>
      <w:spacing w:after="0"/>
      <w:ind w:left="440"/>
    </w:pPr>
    <w:rPr>
      <w:rFonts w:cstheme="minorHAnsi"/>
      <w:sz w:val="20"/>
      <w:szCs w:val="20"/>
    </w:rPr>
  </w:style>
  <w:style w:type="paragraph" w:styleId="TOC5">
    <w:name w:val="toc 5"/>
    <w:basedOn w:val="Normal"/>
    <w:next w:val="Normal"/>
    <w:autoRedefine/>
    <w:uiPriority w:val="39"/>
    <w:unhideWhenUsed/>
    <w:rsid w:val="000A06C9"/>
    <w:pPr>
      <w:spacing w:after="0"/>
      <w:ind w:left="660"/>
    </w:pPr>
    <w:rPr>
      <w:rFonts w:cstheme="minorHAnsi"/>
      <w:sz w:val="20"/>
      <w:szCs w:val="20"/>
    </w:rPr>
  </w:style>
  <w:style w:type="paragraph" w:styleId="TOC6">
    <w:name w:val="toc 6"/>
    <w:basedOn w:val="Normal"/>
    <w:next w:val="Normal"/>
    <w:autoRedefine/>
    <w:uiPriority w:val="39"/>
    <w:unhideWhenUsed/>
    <w:rsid w:val="000A06C9"/>
    <w:pPr>
      <w:spacing w:after="0"/>
      <w:ind w:left="880"/>
    </w:pPr>
    <w:rPr>
      <w:rFonts w:cstheme="minorHAnsi"/>
      <w:sz w:val="20"/>
      <w:szCs w:val="20"/>
    </w:rPr>
  </w:style>
  <w:style w:type="paragraph" w:styleId="TOC7">
    <w:name w:val="toc 7"/>
    <w:basedOn w:val="Normal"/>
    <w:next w:val="Normal"/>
    <w:autoRedefine/>
    <w:uiPriority w:val="39"/>
    <w:unhideWhenUsed/>
    <w:rsid w:val="000A06C9"/>
    <w:pPr>
      <w:spacing w:after="0"/>
      <w:ind w:left="1100"/>
    </w:pPr>
    <w:rPr>
      <w:rFonts w:cstheme="minorHAnsi"/>
      <w:sz w:val="20"/>
      <w:szCs w:val="20"/>
    </w:rPr>
  </w:style>
  <w:style w:type="paragraph" w:styleId="TOC8">
    <w:name w:val="toc 8"/>
    <w:basedOn w:val="Normal"/>
    <w:next w:val="Normal"/>
    <w:autoRedefine/>
    <w:uiPriority w:val="39"/>
    <w:unhideWhenUsed/>
    <w:rsid w:val="000A06C9"/>
    <w:pPr>
      <w:spacing w:after="0"/>
      <w:ind w:left="1320"/>
    </w:pPr>
    <w:rPr>
      <w:rFonts w:cstheme="minorHAnsi"/>
      <w:sz w:val="20"/>
      <w:szCs w:val="20"/>
    </w:rPr>
  </w:style>
  <w:style w:type="paragraph" w:styleId="TOC9">
    <w:name w:val="toc 9"/>
    <w:basedOn w:val="Normal"/>
    <w:next w:val="Normal"/>
    <w:autoRedefine/>
    <w:uiPriority w:val="39"/>
    <w:unhideWhenUsed/>
    <w:rsid w:val="000A06C9"/>
    <w:pPr>
      <w:spacing w:after="0"/>
      <w:ind w:left="1540"/>
    </w:pPr>
    <w:rPr>
      <w:rFonts w:cstheme="minorHAnsi"/>
      <w:sz w:val="20"/>
      <w:szCs w:val="20"/>
    </w:rPr>
  </w:style>
  <w:style w:type="character" w:customStyle="1" w:styleId="cf01">
    <w:name w:val="cf01"/>
    <w:basedOn w:val="DefaultParagraphFont"/>
    <w:rsid w:val="00D534CF"/>
    <w:rPr>
      <w:rFonts w:ascii="Segoe UI" w:hAnsi="Segoe UI" w:cs="Segoe UI" w:hint="default"/>
      <w:sz w:val="18"/>
      <w:szCs w:val="18"/>
      <w:shd w:val="clear" w:color="auto" w:fill="FFFF00"/>
    </w:rPr>
  </w:style>
  <w:style w:type="character" w:customStyle="1" w:styleId="cf11">
    <w:name w:val="cf11"/>
    <w:basedOn w:val="DefaultParagraphFont"/>
    <w:rsid w:val="00D534CF"/>
    <w:rPr>
      <w:rFonts w:ascii="Segoe UI" w:hAnsi="Segoe UI" w:cs="Segoe UI" w:hint="default"/>
      <w:b/>
      <w:bCs/>
      <w:sz w:val="18"/>
      <w:szCs w:val="18"/>
      <w:shd w:val="clear" w:color="auto" w:fill="FF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397814">
      <w:bodyDiv w:val="1"/>
      <w:marLeft w:val="0"/>
      <w:marRight w:val="0"/>
      <w:marTop w:val="0"/>
      <w:marBottom w:val="0"/>
      <w:divBdr>
        <w:top w:val="none" w:sz="0" w:space="0" w:color="auto"/>
        <w:left w:val="none" w:sz="0" w:space="0" w:color="auto"/>
        <w:bottom w:val="none" w:sz="0" w:space="0" w:color="auto"/>
        <w:right w:val="none" w:sz="0" w:space="0" w:color="auto"/>
      </w:divBdr>
    </w:div>
    <w:div w:id="145243220">
      <w:bodyDiv w:val="1"/>
      <w:marLeft w:val="0"/>
      <w:marRight w:val="0"/>
      <w:marTop w:val="0"/>
      <w:marBottom w:val="0"/>
      <w:divBdr>
        <w:top w:val="none" w:sz="0" w:space="0" w:color="auto"/>
        <w:left w:val="none" w:sz="0" w:space="0" w:color="auto"/>
        <w:bottom w:val="none" w:sz="0" w:space="0" w:color="auto"/>
        <w:right w:val="none" w:sz="0" w:space="0" w:color="auto"/>
      </w:divBdr>
    </w:div>
    <w:div w:id="237135688">
      <w:bodyDiv w:val="1"/>
      <w:marLeft w:val="0"/>
      <w:marRight w:val="0"/>
      <w:marTop w:val="0"/>
      <w:marBottom w:val="0"/>
      <w:divBdr>
        <w:top w:val="none" w:sz="0" w:space="0" w:color="auto"/>
        <w:left w:val="none" w:sz="0" w:space="0" w:color="auto"/>
        <w:bottom w:val="none" w:sz="0" w:space="0" w:color="auto"/>
        <w:right w:val="none" w:sz="0" w:space="0" w:color="auto"/>
      </w:divBdr>
    </w:div>
    <w:div w:id="313727785">
      <w:bodyDiv w:val="1"/>
      <w:marLeft w:val="0"/>
      <w:marRight w:val="0"/>
      <w:marTop w:val="0"/>
      <w:marBottom w:val="0"/>
      <w:divBdr>
        <w:top w:val="none" w:sz="0" w:space="0" w:color="auto"/>
        <w:left w:val="none" w:sz="0" w:space="0" w:color="auto"/>
        <w:bottom w:val="none" w:sz="0" w:space="0" w:color="auto"/>
        <w:right w:val="none" w:sz="0" w:space="0" w:color="auto"/>
      </w:divBdr>
    </w:div>
    <w:div w:id="381486518">
      <w:bodyDiv w:val="1"/>
      <w:marLeft w:val="0"/>
      <w:marRight w:val="0"/>
      <w:marTop w:val="0"/>
      <w:marBottom w:val="0"/>
      <w:divBdr>
        <w:top w:val="none" w:sz="0" w:space="0" w:color="auto"/>
        <w:left w:val="none" w:sz="0" w:space="0" w:color="auto"/>
        <w:bottom w:val="none" w:sz="0" w:space="0" w:color="auto"/>
        <w:right w:val="none" w:sz="0" w:space="0" w:color="auto"/>
      </w:divBdr>
    </w:div>
    <w:div w:id="407045672">
      <w:bodyDiv w:val="1"/>
      <w:marLeft w:val="0"/>
      <w:marRight w:val="0"/>
      <w:marTop w:val="0"/>
      <w:marBottom w:val="0"/>
      <w:divBdr>
        <w:top w:val="none" w:sz="0" w:space="0" w:color="auto"/>
        <w:left w:val="none" w:sz="0" w:space="0" w:color="auto"/>
        <w:bottom w:val="none" w:sz="0" w:space="0" w:color="auto"/>
        <w:right w:val="none" w:sz="0" w:space="0" w:color="auto"/>
      </w:divBdr>
    </w:div>
    <w:div w:id="416101587">
      <w:bodyDiv w:val="1"/>
      <w:marLeft w:val="0"/>
      <w:marRight w:val="0"/>
      <w:marTop w:val="0"/>
      <w:marBottom w:val="0"/>
      <w:divBdr>
        <w:top w:val="none" w:sz="0" w:space="0" w:color="auto"/>
        <w:left w:val="none" w:sz="0" w:space="0" w:color="auto"/>
        <w:bottom w:val="none" w:sz="0" w:space="0" w:color="auto"/>
        <w:right w:val="none" w:sz="0" w:space="0" w:color="auto"/>
      </w:divBdr>
    </w:div>
    <w:div w:id="436868266">
      <w:bodyDiv w:val="1"/>
      <w:marLeft w:val="0"/>
      <w:marRight w:val="0"/>
      <w:marTop w:val="0"/>
      <w:marBottom w:val="0"/>
      <w:divBdr>
        <w:top w:val="none" w:sz="0" w:space="0" w:color="auto"/>
        <w:left w:val="none" w:sz="0" w:space="0" w:color="auto"/>
        <w:bottom w:val="none" w:sz="0" w:space="0" w:color="auto"/>
        <w:right w:val="none" w:sz="0" w:space="0" w:color="auto"/>
      </w:divBdr>
    </w:div>
    <w:div w:id="468088470">
      <w:bodyDiv w:val="1"/>
      <w:marLeft w:val="0"/>
      <w:marRight w:val="0"/>
      <w:marTop w:val="0"/>
      <w:marBottom w:val="0"/>
      <w:divBdr>
        <w:top w:val="none" w:sz="0" w:space="0" w:color="auto"/>
        <w:left w:val="none" w:sz="0" w:space="0" w:color="auto"/>
        <w:bottom w:val="none" w:sz="0" w:space="0" w:color="auto"/>
        <w:right w:val="none" w:sz="0" w:space="0" w:color="auto"/>
      </w:divBdr>
    </w:div>
    <w:div w:id="472647985">
      <w:bodyDiv w:val="1"/>
      <w:marLeft w:val="0"/>
      <w:marRight w:val="0"/>
      <w:marTop w:val="0"/>
      <w:marBottom w:val="0"/>
      <w:divBdr>
        <w:top w:val="none" w:sz="0" w:space="0" w:color="auto"/>
        <w:left w:val="none" w:sz="0" w:space="0" w:color="auto"/>
        <w:bottom w:val="none" w:sz="0" w:space="0" w:color="auto"/>
        <w:right w:val="none" w:sz="0" w:space="0" w:color="auto"/>
      </w:divBdr>
    </w:div>
    <w:div w:id="474564085">
      <w:bodyDiv w:val="1"/>
      <w:marLeft w:val="0"/>
      <w:marRight w:val="0"/>
      <w:marTop w:val="0"/>
      <w:marBottom w:val="0"/>
      <w:divBdr>
        <w:top w:val="none" w:sz="0" w:space="0" w:color="auto"/>
        <w:left w:val="none" w:sz="0" w:space="0" w:color="auto"/>
        <w:bottom w:val="none" w:sz="0" w:space="0" w:color="auto"/>
        <w:right w:val="none" w:sz="0" w:space="0" w:color="auto"/>
      </w:divBdr>
    </w:div>
    <w:div w:id="498813036">
      <w:bodyDiv w:val="1"/>
      <w:marLeft w:val="0"/>
      <w:marRight w:val="0"/>
      <w:marTop w:val="0"/>
      <w:marBottom w:val="0"/>
      <w:divBdr>
        <w:top w:val="none" w:sz="0" w:space="0" w:color="auto"/>
        <w:left w:val="none" w:sz="0" w:space="0" w:color="auto"/>
        <w:bottom w:val="none" w:sz="0" w:space="0" w:color="auto"/>
        <w:right w:val="none" w:sz="0" w:space="0" w:color="auto"/>
      </w:divBdr>
    </w:div>
    <w:div w:id="539979984">
      <w:bodyDiv w:val="1"/>
      <w:marLeft w:val="0"/>
      <w:marRight w:val="0"/>
      <w:marTop w:val="0"/>
      <w:marBottom w:val="0"/>
      <w:divBdr>
        <w:top w:val="none" w:sz="0" w:space="0" w:color="auto"/>
        <w:left w:val="none" w:sz="0" w:space="0" w:color="auto"/>
        <w:bottom w:val="none" w:sz="0" w:space="0" w:color="auto"/>
        <w:right w:val="none" w:sz="0" w:space="0" w:color="auto"/>
      </w:divBdr>
    </w:div>
    <w:div w:id="571964758">
      <w:bodyDiv w:val="1"/>
      <w:marLeft w:val="0"/>
      <w:marRight w:val="0"/>
      <w:marTop w:val="0"/>
      <w:marBottom w:val="0"/>
      <w:divBdr>
        <w:top w:val="none" w:sz="0" w:space="0" w:color="auto"/>
        <w:left w:val="none" w:sz="0" w:space="0" w:color="auto"/>
        <w:bottom w:val="none" w:sz="0" w:space="0" w:color="auto"/>
        <w:right w:val="none" w:sz="0" w:space="0" w:color="auto"/>
      </w:divBdr>
    </w:div>
    <w:div w:id="585453898">
      <w:bodyDiv w:val="1"/>
      <w:marLeft w:val="0"/>
      <w:marRight w:val="0"/>
      <w:marTop w:val="0"/>
      <w:marBottom w:val="0"/>
      <w:divBdr>
        <w:top w:val="none" w:sz="0" w:space="0" w:color="auto"/>
        <w:left w:val="none" w:sz="0" w:space="0" w:color="auto"/>
        <w:bottom w:val="none" w:sz="0" w:space="0" w:color="auto"/>
        <w:right w:val="none" w:sz="0" w:space="0" w:color="auto"/>
      </w:divBdr>
    </w:div>
    <w:div w:id="605231882">
      <w:bodyDiv w:val="1"/>
      <w:marLeft w:val="0"/>
      <w:marRight w:val="0"/>
      <w:marTop w:val="0"/>
      <w:marBottom w:val="0"/>
      <w:divBdr>
        <w:top w:val="none" w:sz="0" w:space="0" w:color="auto"/>
        <w:left w:val="none" w:sz="0" w:space="0" w:color="auto"/>
        <w:bottom w:val="none" w:sz="0" w:space="0" w:color="auto"/>
        <w:right w:val="none" w:sz="0" w:space="0" w:color="auto"/>
      </w:divBdr>
    </w:div>
    <w:div w:id="668286718">
      <w:bodyDiv w:val="1"/>
      <w:marLeft w:val="0"/>
      <w:marRight w:val="0"/>
      <w:marTop w:val="0"/>
      <w:marBottom w:val="0"/>
      <w:divBdr>
        <w:top w:val="none" w:sz="0" w:space="0" w:color="auto"/>
        <w:left w:val="none" w:sz="0" w:space="0" w:color="auto"/>
        <w:bottom w:val="none" w:sz="0" w:space="0" w:color="auto"/>
        <w:right w:val="none" w:sz="0" w:space="0" w:color="auto"/>
      </w:divBdr>
    </w:div>
    <w:div w:id="670177167">
      <w:bodyDiv w:val="1"/>
      <w:marLeft w:val="0"/>
      <w:marRight w:val="0"/>
      <w:marTop w:val="0"/>
      <w:marBottom w:val="0"/>
      <w:divBdr>
        <w:top w:val="none" w:sz="0" w:space="0" w:color="auto"/>
        <w:left w:val="none" w:sz="0" w:space="0" w:color="auto"/>
        <w:bottom w:val="none" w:sz="0" w:space="0" w:color="auto"/>
        <w:right w:val="none" w:sz="0" w:space="0" w:color="auto"/>
      </w:divBdr>
    </w:div>
    <w:div w:id="675620893">
      <w:bodyDiv w:val="1"/>
      <w:marLeft w:val="0"/>
      <w:marRight w:val="0"/>
      <w:marTop w:val="0"/>
      <w:marBottom w:val="0"/>
      <w:divBdr>
        <w:top w:val="none" w:sz="0" w:space="0" w:color="auto"/>
        <w:left w:val="none" w:sz="0" w:space="0" w:color="auto"/>
        <w:bottom w:val="none" w:sz="0" w:space="0" w:color="auto"/>
        <w:right w:val="none" w:sz="0" w:space="0" w:color="auto"/>
      </w:divBdr>
    </w:div>
    <w:div w:id="731927209">
      <w:bodyDiv w:val="1"/>
      <w:marLeft w:val="0"/>
      <w:marRight w:val="0"/>
      <w:marTop w:val="0"/>
      <w:marBottom w:val="0"/>
      <w:divBdr>
        <w:top w:val="none" w:sz="0" w:space="0" w:color="auto"/>
        <w:left w:val="none" w:sz="0" w:space="0" w:color="auto"/>
        <w:bottom w:val="none" w:sz="0" w:space="0" w:color="auto"/>
        <w:right w:val="none" w:sz="0" w:space="0" w:color="auto"/>
      </w:divBdr>
    </w:div>
    <w:div w:id="732050466">
      <w:bodyDiv w:val="1"/>
      <w:marLeft w:val="0"/>
      <w:marRight w:val="0"/>
      <w:marTop w:val="0"/>
      <w:marBottom w:val="0"/>
      <w:divBdr>
        <w:top w:val="none" w:sz="0" w:space="0" w:color="auto"/>
        <w:left w:val="none" w:sz="0" w:space="0" w:color="auto"/>
        <w:bottom w:val="none" w:sz="0" w:space="0" w:color="auto"/>
        <w:right w:val="none" w:sz="0" w:space="0" w:color="auto"/>
      </w:divBdr>
    </w:div>
    <w:div w:id="792014839">
      <w:bodyDiv w:val="1"/>
      <w:marLeft w:val="0"/>
      <w:marRight w:val="0"/>
      <w:marTop w:val="0"/>
      <w:marBottom w:val="0"/>
      <w:divBdr>
        <w:top w:val="none" w:sz="0" w:space="0" w:color="auto"/>
        <w:left w:val="none" w:sz="0" w:space="0" w:color="auto"/>
        <w:bottom w:val="none" w:sz="0" w:space="0" w:color="auto"/>
        <w:right w:val="none" w:sz="0" w:space="0" w:color="auto"/>
      </w:divBdr>
      <w:divsChild>
        <w:div w:id="1087575608">
          <w:marLeft w:val="600"/>
          <w:marRight w:val="0"/>
          <w:marTop w:val="0"/>
          <w:marBottom w:val="0"/>
          <w:divBdr>
            <w:top w:val="none" w:sz="0" w:space="0" w:color="auto"/>
            <w:left w:val="none" w:sz="0" w:space="0" w:color="auto"/>
            <w:bottom w:val="none" w:sz="0" w:space="0" w:color="auto"/>
            <w:right w:val="none" w:sz="0" w:space="0" w:color="auto"/>
          </w:divBdr>
        </w:div>
        <w:div w:id="2119333090">
          <w:marLeft w:val="600"/>
          <w:marRight w:val="0"/>
          <w:marTop w:val="0"/>
          <w:marBottom w:val="0"/>
          <w:divBdr>
            <w:top w:val="none" w:sz="0" w:space="0" w:color="auto"/>
            <w:left w:val="none" w:sz="0" w:space="0" w:color="auto"/>
            <w:bottom w:val="none" w:sz="0" w:space="0" w:color="auto"/>
            <w:right w:val="none" w:sz="0" w:space="0" w:color="auto"/>
          </w:divBdr>
        </w:div>
      </w:divsChild>
    </w:div>
    <w:div w:id="845094489">
      <w:bodyDiv w:val="1"/>
      <w:marLeft w:val="0"/>
      <w:marRight w:val="0"/>
      <w:marTop w:val="0"/>
      <w:marBottom w:val="0"/>
      <w:divBdr>
        <w:top w:val="none" w:sz="0" w:space="0" w:color="auto"/>
        <w:left w:val="none" w:sz="0" w:space="0" w:color="auto"/>
        <w:bottom w:val="none" w:sz="0" w:space="0" w:color="auto"/>
        <w:right w:val="none" w:sz="0" w:space="0" w:color="auto"/>
      </w:divBdr>
    </w:div>
    <w:div w:id="845486900">
      <w:bodyDiv w:val="1"/>
      <w:marLeft w:val="0"/>
      <w:marRight w:val="0"/>
      <w:marTop w:val="0"/>
      <w:marBottom w:val="0"/>
      <w:divBdr>
        <w:top w:val="none" w:sz="0" w:space="0" w:color="auto"/>
        <w:left w:val="none" w:sz="0" w:space="0" w:color="auto"/>
        <w:bottom w:val="none" w:sz="0" w:space="0" w:color="auto"/>
        <w:right w:val="none" w:sz="0" w:space="0" w:color="auto"/>
      </w:divBdr>
    </w:div>
    <w:div w:id="872812524">
      <w:bodyDiv w:val="1"/>
      <w:marLeft w:val="0"/>
      <w:marRight w:val="0"/>
      <w:marTop w:val="0"/>
      <w:marBottom w:val="0"/>
      <w:divBdr>
        <w:top w:val="none" w:sz="0" w:space="0" w:color="auto"/>
        <w:left w:val="none" w:sz="0" w:space="0" w:color="auto"/>
        <w:bottom w:val="none" w:sz="0" w:space="0" w:color="auto"/>
        <w:right w:val="none" w:sz="0" w:space="0" w:color="auto"/>
      </w:divBdr>
    </w:div>
    <w:div w:id="930049720">
      <w:bodyDiv w:val="1"/>
      <w:marLeft w:val="0"/>
      <w:marRight w:val="0"/>
      <w:marTop w:val="0"/>
      <w:marBottom w:val="0"/>
      <w:divBdr>
        <w:top w:val="none" w:sz="0" w:space="0" w:color="auto"/>
        <w:left w:val="none" w:sz="0" w:space="0" w:color="auto"/>
        <w:bottom w:val="none" w:sz="0" w:space="0" w:color="auto"/>
        <w:right w:val="none" w:sz="0" w:space="0" w:color="auto"/>
      </w:divBdr>
    </w:div>
    <w:div w:id="968979072">
      <w:bodyDiv w:val="1"/>
      <w:marLeft w:val="0"/>
      <w:marRight w:val="0"/>
      <w:marTop w:val="0"/>
      <w:marBottom w:val="0"/>
      <w:divBdr>
        <w:top w:val="none" w:sz="0" w:space="0" w:color="auto"/>
        <w:left w:val="none" w:sz="0" w:space="0" w:color="auto"/>
        <w:bottom w:val="none" w:sz="0" w:space="0" w:color="auto"/>
        <w:right w:val="none" w:sz="0" w:space="0" w:color="auto"/>
      </w:divBdr>
    </w:div>
    <w:div w:id="1086027093">
      <w:bodyDiv w:val="1"/>
      <w:marLeft w:val="0"/>
      <w:marRight w:val="0"/>
      <w:marTop w:val="0"/>
      <w:marBottom w:val="0"/>
      <w:divBdr>
        <w:top w:val="none" w:sz="0" w:space="0" w:color="auto"/>
        <w:left w:val="none" w:sz="0" w:space="0" w:color="auto"/>
        <w:bottom w:val="none" w:sz="0" w:space="0" w:color="auto"/>
        <w:right w:val="none" w:sz="0" w:space="0" w:color="auto"/>
      </w:divBdr>
    </w:div>
    <w:div w:id="1120760930">
      <w:bodyDiv w:val="1"/>
      <w:marLeft w:val="0"/>
      <w:marRight w:val="0"/>
      <w:marTop w:val="0"/>
      <w:marBottom w:val="0"/>
      <w:divBdr>
        <w:top w:val="none" w:sz="0" w:space="0" w:color="auto"/>
        <w:left w:val="none" w:sz="0" w:space="0" w:color="auto"/>
        <w:bottom w:val="none" w:sz="0" w:space="0" w:color="auto"/>
        <w:right w:val="none" w:sz="0" w:space="0" w:color="auto"/>
      </w:divBdr>
      <w:divsChild>
        <w:div w:id="227306902">
          <w:marLeft w:val="0"/>
          <w:marRight w:val="0"/>
          <w:marTop w:val="0"/>
          <w:marBottom w:val="0"/>
          <w:divBdr>
            <w:top w:val="none" w:sz="0" w:space="0" w:color="auto"/>
            <w:left w:val="none" w:sz="0" w:space="0" w:color="auto"/>
            <w:bottom w:val="none" w:sz="0" w:space="0" w:color="auto"/>
            <w:right w:val="none" w:sz="0" w:space="0" w:color="auto"/>
          </w:divBdr>
          <w:divsChild>
            <w:div w:id="582107133">
              <w:marLeft w:val="0"/>
              <w:marRight w:val="0"/>
              <w:marTop w:val="0"/>
              <w:marBottom w:val="0"/>
              <w:divBdr>
                <w:top w:val="none" w:sz="0" w:space="0" w:color="auto"/>
                <w:left w:val="none" w:sz="0" w:space="0" w:color="auto"/>
                <w:bottom w:val="none" w:sz="0" w:space="0" w:color="auto"/>
                <w:right w:val="none" w:sz="0" w:space="0" w:color="auto"/>
              </w:divBdr>
            </w:div>
            <w:div w:id="2064593290">
              <w:marLeft w:val="0"/>
              <w:marRight w:val="0"/>
              <w:marTop w:val="0"/>
              <w:marBottom w:val="0"/>
              <w:divBdr>
                <w:top w:val="none" w:sz="0" w:space="0" w:color="auto"/>
                <w:left w:val="none" w:sz="0" w:space="0" w:color="auto"/>
                <w:bottom w:val="none" w:sz="0" w:space="0" w:color="auto"/>
                <w:right w:val="none" w:sz="0" w:space="0" w:color="auto"/>
              </w:divBdr>
              <w:divsChild>
                <w:div w:id="1772315982">
                  <w:marLeft w:val="0"/>
                  <w:marRight w:val="0"/>
                  <w:marTop w:val="0"/>
                  <w:marBottom w:val="0"/>
                  <w:divBdr>
                    <w:top w:val="none" w:sz="0" w:space="0" w:color="auto"/>
                    <w:left w:val="none" w:sz="0" w:space="0" w:color="auto"/>
                    <w:bottom w:val="none" w:sz="0" w:space="0" w:color="auto"/>
                    <w:right w:val="none" w:sz="0" w:space="0" w:color="auto"/>
                  </w:divBdr>
                  <w:divsChild>
                    <w:div w:id="162916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785947">
          <w:marLeft w:val="0"/>
          <w:marRight w:val="0"/>
          <w:marTop w:val="0"/>
          <w:marBottom w:val="0"/>
          <w:divBdr>
            <w:top w:val="none" w:sz="0" w:space="0" w:color="auto"/>
            <w:left w:val="none" w:sz="0" w:space="0" w:color="auto"/>
            <w:bottom w:val="none" w:sz="0" w:space="0" w:color="auto"/>
            <w:right w:val="none" w:sz="0" w:space="0" w:color="auto"/>
          </w:divBdr>
        </w:div>
        <w:div w:id="1539783425">
          <w:marLeft w:val="0"/>
          <w:marRight w:val="0"/>
          <w:marTop w:val="0"/>
          <w:marBottom w:val="0"/>
          <w:divBdr>
            <w:top w:val="none" w:sz="0" w:space="0" w:color="auto"/>
            <w:left w:val="none" w:sz="0" w:space="0" w:color="auto"/>
            <w:bottom w:val="none" w:sz="0" w:space="0" w:color="auto"/>
            <w:right w:val="none" w:sz="0" w:space="0" w:color="auto"/>
          </w:divBdr>
          <w:divsChild>
            <w:div w:id="336809415">
              <w:marLeft w:val="0"/>
              <w:marRight w:val="0"/>
              <w:marTop w:val="0"/>
              <w:marBottom w:val="0"/>
              <w:divBdr>
                <w:top w:val="none" w:sz="0" w:space="0" w:color="auto"/>
                <w:left w:val="none" w:sz="0" w:space="0" w:color="auto"/>
                <w:bottom w:val="none" w:sz="0" w:space="0" w:color="auto"/>
                <w:right w:val="none" w:sz="0" w:space="0" w:color="auto"/>
              </w:divBdr>
              <w:divsChild>
                <w:div w:id="1904869453">
                  <w:marLeft w:val="0"/>
                  <w:marRight w:val="0"/>
                  <w:marTop w:val="0"/>
                  <w:marBottom w:val="0"/>
                  <w:divBdr>
                    <w:top w:val="none" w:sz="0" w:space="0" w:color="auto"/>
                    <w:left w:val="none" w:sz="0" w:space="0" w:color="auto"/>
                    <w:bottom w:val="none" w:sz="0" w:space="0" w:color="auto"/>
                    <w:right w:val="none" w:sz="0" w:space="0" w:color="auto"/>
                  </w:divBdr>
                  <w:divsChild>
                    <w:div w:id="1231768321">
                      <w:marLeft w:val="0"/>
                      <w:marRight w:val="0"/>
                      <w:marTop w:val="0"/>
                      <w:marBottom w:val="0"/>
                      <w:divBdr>
                        <w:top w:val="none" w:sz="0" w:space="0" w:color="auto"/>
                        <w:left w:val="none" w:sz="0" w:space="0" w:color="auto"/>
                        <w:bottom w:val="none" w:sz="0" w:space="0" w:color="auto"/>
                        <w:right w:val="none" w:sz="0" w:space="0" w:color="auto"/>
                      </w:divBdr>
                      <w:divsChild>
                        <w:div w:id="96484298">
                          <w:marLeft w:val="0"/>
                          <w:marRight w:val="0"/>
                          <w:marTop w:val="0"/>
                          <w:marBottom w:val="0"/>
                          <w:divBdr>
                            <w:top w:val="none" w:sz="0" w:space="0" w:color="auto"/>
                            <w:left w:val="none" w:sz="0" w:space="0" w:color="auto"/>
                            <w:bottom w:val="none" w:sz="0" w:space="0" w:color="auto"/>
                            <w:right w:val="none" w:sz="0" w:space="0" w:color="auto"/>
                          </w:divBdr>
                          <w:divsChild>
                            <w:div w:id="131872799">
                              <w:marLeft w:val="0"/>
                              <w:marRight w:val="0"/>
                              <w:marTop w:val="0"/>
                              <w:marBottom w:val="0"/>
                              <w:divBdr>
                                <w:top w:val="none" w:sz="0" w:space="0" w:color="auto"/>
                                <w:left w:val="none" w:sz="0" w:space="0" w:color="auto"/>
                                <w:bottom w:val="none" w:sz="0" w:space="0" w:color="auto"/>
                                <w:right w:val="none" w:sz="0" w:space="0" w:color="auto"/>
                              </w:divBdr>
                            </w:div>
                            <w:div w:id="2072730176">
                              <w:marLeft w:val="0"/>
                              <w:marRight w:val="0"/>
                              <w:marTop w:val="0"/>
                              <w:marBottom w:val="0"/>
                              <w:divBdr>
                                <w:top w:val="none" w:sz="0" w:space="0" w:color="auto"/>
                                <w:left w:val="none" w:sz="0" w:space="0" w:color="auto"/>
                                <w:bottom w:val="none" w:sz="0" w:space="0" w:color="auto"/>
                                <w:right w:val="none" w:sz="0" w:space="0" w:color="auto"/>
                              </w:divBdr>
                            </w:div>
                          </w:divsChild>
                        </w:div>
                        <w:div w:id="158078631">
                          <w:marLeft w:val="0"/>
                          <w:marRight w:val="0"/>
                          <w:marTop w:val="0"/>
                          <w:marBottom w:val="0"/>
                          <w:divBdr>
                            <w:top w:val="none" w:sz="0" w:space="0" w:color="auto"/>
                            <w:left w:val="none" w:sz="0" w:space="0" w:color="auto"/>
                            <w:bottom w:val="none" w:sz="0" w:space="0" w:color="auto"/>
                            <w:right w:val="none" w:sz="0" w:space="0" w:color="auto"/>
                          </w:divBdr>
                          <w:divsChild>
                            <w:div w:id="24645242">
                              <w:marLeft w:val="0"/>
                              <w:marRight w:val="0"/>
                              <w:marTop w:val="0"/>
                              <w:marBottom w:val="0"/>
                              <w:divBdr>
                                <w:top w:val="none" w:sz="0" w:space="0" w:color="auto"/>
                                <w:left w:val="none" w:sz="0" w:space="0" w:color="auto"/>
                                <w:bottom w:val="none" w:sz="0" w:space="0" w:color="auto"/>
                                <w:right w:val="none" w:sz="0" w:space="0" w:color="auto"/>
                              </w:divBdr>
                            </w:div>
                            <w:div w:id="364326682">
                              <w:marLeft w:val="0"/>
                              <w:marRight w:val="0"/>
                              <w:marTop w:val="0"/>
                              <w:marBottom w:val="0"/>
                              <w:divBdr>
                                <w:top w:val="none" w:sz="0" w:space="0" w:color="auto"/>
                                <w:left w:val="none" w:sz="0" w:space="0" w:color="auto"/>
                                <w:bottom w:val="none" w:sz="0" w:space="0" w:color="auto"/>
                                <w:right w:val="none" w:sz="0" w:space="0" w:color="auto"/>
                              </w:divBdr>
                            </w:div>
                          </w:divsChild>
                        </w:div>
                        <w:div w:id="995645099">
                          <w:marLeft w:val="0"/>
                          <w:marRight w:val="0"/>
                          <w:marTop w:val="0"/>
                          <w:marBottom w:val="0"/>
                          <w:divBdr>
                            <w:top w:val="none" w:sz="0" w:space="0" w:color="auto"/>
                            <w:left w:val="none" w:sz="0" w:space="0" w:color="auto"/>
                            <w:bottom w:val="none" w:sz="0" w:space="0" w:color="auto"/>
                            <w:right w:val="none" w:sz="0" w:space="0" w:color="auto"/>
                          </w:divBdr>
                          <w:divsChild>
                            <w:div w:id="209340676">
                              <w:marLeft w:val="0"/>
                              <w:marRight w:val="0"/>
                              <w:marTop w:val="0"/>
                              <w:marBottom w:val="0"/>
                              <w:divBdr>
                                <w:top w:val="none" w:sz="0" w:space="0" w:color="auto"/>
                                <w:left w:val="none" w:sz="0" w:space="0" w:color="auto"/>
                                <w:bottom w:val="none" w:sz="0" w:space="0" w:color="auto"/>
                                <w:right w:val="none" w:sz="0" w:space="0" w:color="auto"/>
                              </w:divBdr>
                            </w:div>
                            <w:div w:id="1615282759">
                              <w:marLeft w:val="0"/>
                              <w:marRight w:val="0"/>
                              <w:marTop w:val="0"/>
                              <w:marBottom w:val="0"/>
                              <w:divBdr>
                                <w:top w:val="none" w:sz="0" w:space="0" w:color="auto"/>
                                <w:left w:val="none" w:sz="0" w:space="0" w:color="auto"/>
                                <w:bottom w:val="none" w:sz="0" w:space="0" w:color="auto"/>
                                <w:right w:val="none" w:sz="0" w:space="0" w:color="auto"/>
                              </w:divBdr>
                            </w:div>
                          </w:divsChild>
                        </w:div>
                        <w:div w:id="1296638731">
                          <w:marLeft w:val="0"/>
                          <w:marRight w:val="0"/>
                          <w:marTop w:val="0"/>
                          <w:marBottom w:val="0"/>
                          <w:divBdr>
                            <w:top w:val="none" w:sz="0" w:space="0" w:color="auto"/>
                            <w:left w:val="none" w:sz="0" w:space="0" w:color="auto"/>
                            <w:bottom w:val="none" w:sz="0" w:space="0" w:color="auto"/>
                            <w:right w:val="none" w:sz="0" w:space="0" w:color="auto"/>
                          </w:divBdr>
                          <w:divsChild>
                            <w:div w:id="208999750">
                              <w:marLeft w:val="0"/>
                              <w:marRight w:val="0"/>
                              <w:marTop w:val="0"/>
                              <w:marBottom w:val="0"/>
                              <w:divBdr>
                                <w:top w:val="none" w:sz="0" w:space="0" w:color="auto"/>
                                <w:left w:val="none" w:sz="0" w:space="0" w:color="auto"/>
                                <w:bottom w:val="none" w:sz="0" w:space="0" w:color="auto"/>
                                <w:right w:val="none" w:sz="0" w:space="0" w:color="auto"/>
                              </w:divBdr>
                            </w:div>
                            <w:div w:id="35797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4159892">
              <w:marLeft w:val="0"/>
              <w:marRight w:val="0"/>
              <w:marTop w:val="0"/>
              <w:marBottom w:val="0"/>
              <w:divBdr>
                <w:top w:val="none" w:sz="0" w:space="0" w:color="auto"/>
                <w:left w:val="none" w:sz="0" w:space="0" w:color="auto"/>
                <w:bottom w:val="none" w:sz="0" w:space="0" w:color="auto"/>
                <w:right w:val="none" w:sz="0" w:space="0" w:color="auto"/>
              </w:divBdr>
            </w:div>
          </w:divsChild>
        </w:div>
        <w:div w:id="1591038753">
          <w:marLeft w:val="0"/>
          <w:marRight w:val="0"/>
          <w:marTop w:val="0"/>
          <w:marBottom w:val="0"/>
          <w:divBdr>
            <w:top w:val="none" w:sz="0" w:space="0" w:color="auto"/>
            <w:left w:val="none" w:sz="0" w:space="0" w:color="auto"/>
            <w:bottom w:val="none" w:sz="0" w:space="0" w:color="auto"/>
            <w:right w:val="none" w:sz="0" w:space="0" w:color="auto"/>
          </w:divBdr>
        </w:div>
        <w:div w:id="1773089991">
          <w:marLeft w:val="0"/>
          <w:marRight w:val="0"/>
          <w:marTop w:val="0"/>
          <w:marBottom w:val="0"/>
          <w:divBdr>
            <w:top w:val="none" w:sz="0" w:space="0" w:color="auto"/>
            <w:left w:val="none" w:sz="0" w:space="0" w:color="auto"/>
            <w:bottom w:val="none" w:sz="0" w:space="0" w:color="auto"/>
            <w:right w:val="none" w:sz="0" w:space="0" w:color="auto"/>
          </w:divBdr>
        </w:div>
      </w:divsChild>
    </w:div>
    <w:div w:id="1227837318">
      <w:bodyDiv w:val="1"/>
      <w:marLeft w:val="0"/>
      <w:marRight w:val="0"/>
      <w:marTop w:val="0"/>
      <w:marBottom w:val="0"/>
      <w:divBdr>
        <w:top w:val="none" w:sz="0" w:space="0" w:color="auto"/>
        <w:left w:val="none" w:sz="0" w:space="0" w:color="auto"/>
        <w:bottom w:val="none" w:sz="0" w:space="0" w:color="auto"/>
        <w:right w:val="none" w:sz="0" w:space="0" w:color="auto"/>
      </w:divBdr>
    </w:div>
    <w:div w:id="1239053337">
      <w:bodyDiv w:val="1"/>
      <w:marLeft w:val="0"/>
      <w:marRight w:val="0"/>
      <w:marTop w:val="0"/>
      <w:marBottom w:val="0"/>
      <w:divBdr>
        <w:top w:val="none" w:sz="0" w:space="0" w:color="auto"/>
        <w:left w:val="none" w:sz="0" w:space="0" w:color="auto"/>
        <w:bottom w:val="none" w:sz="0" w:space="0" w:color="auto"/>
        <w:right w:val="none" w:sz="0" w:space="0" w:color="auto"/>
      </w:divBdr>
    </w:div>
    <w:div w:id="1275593384">
      <w:bodyDiv w:val="1"/>
      <w:marLeft w:val="0"/>
      <w:marRight w:val="0"/>
      <w:marTop w:val="0"/>
      <w:marBottom w:val="0"/>
      <w:divBdr>
        <w:top w:val="none" w:sz="0" w:space="0" w:color="auto"/>
        <w:left w:val="none" w:sz="0" w:space="0" w:color="auto"/>
        <w:bottom w:val="none" w:sz="0" w:space="0" w:color="auto"/>
        <w:right w:val="none" w:sz="0" w:space="0" w:color="auto"/>
      </w:divBdr>
    </w:div>
    <w:div w:id="1305236217">
      <w:bodyDiv w:val="1"/>
      <w:marLeft w:val="0"/>
      <w:marRight w:val="0"/>
      <w:marTop w:val="0"/>
      <w:marBottom w:val="0"/>
      <w:divBdr>
        <w:top w:val="none" w:sz="0" w:space="0" w:color="auto"/>
        <w:left w:val="none" w:sz="0" w:space="0" w:color="auto"/>
        <w:bottom w:val="none" w:sz="0" w:space="0" w:color="auto"/>
        <w:right w:val="none" w:sz="0" w:space="0" w:color="auto"/>
      </w:divBdr>
    </w:div>
    <w:div w:id="1313485986">
      <w:bodyDiv w:val="1"/>
      <w:marLeft w:val="0"/>
      <w:marRight w:val="0"/>
      <w:marTop w:val="0"/>
      <w:marBottom w:val="0"/>
      <w:divBdr>
        <w:top w:val="none" w:sz="0" w:space="0" w:color="auto"/>
        <w:left w:val="none" w:sz="0" w:space="0" w:color="auto"/>
        <w:bottom w:val="none" w:sz="0" w:space="0" w:color="auto"/>
        <w:right w:val="none" w:sz="0" w:space="0" w:color="auto"/>
      </w:divBdr>
    </w:div>
    <w:div w:id="1345329506">
      <w:bodyDiv w:val="1"/>
      <w:marLeft w:val="0"/>
      <w:marRight w:val="0"/>
      <w:marTop w:val="0"/>
      <w:marBottom w:val="0"/>
      <w:divBdr>
        <w:top w:val="none" w:sz="0" w:space="0" w:color="auto"/>
        <w:left w:val="none" w:sz="0" w:space="0" w:color="auto"/>
        <w:bottom w:val="none" w:sz="0" w:space="0" w:color="auto"/>
        <w:right w:val="none" w:sz="0" w:space="0" w:color="auto"/>
      </w:divBdr>
    </w:div>
    <w:div w:id="1381132391">
      <w:bodyDiv w:val="1"/>
      <w:marLeft w:val="0"/>
      <w:marRight w:val="0"/>
      <w:marTop w:val="0"/>
      <w:marBottom w:val="0"/>
      <w:divBdr>
        <w:top w:val="none" w:sz="0" w:space="0" w:color="auto"/>
        <w:left w:val="none" w:sz="0" w:space="0" w:color="auto"/>
        <w:bottom w:val="none" w:sz="0" w:space="0" w:color="auto"/>
        <w:right w:val="none" w:sz="0" w:space="0" w:color="auto"/>
      </w:divBdr>
    </w:div>
    <w:div w:id="1385107784">
      <w:bodyDiv w:val="1"/>
      <w:marLeft w:val="0"/>
      <w:marRight w:val="0"/>
      <w:marTop w:val="0"/>
      <w:marBottom w:val="0"/>
      <w:divBdr>
        <w:top w:val="none" w:sz="0" w:space="0" w:color="auto"/>
        <w:left w:val="none" w:sz="0" w:space="0" w:color="auto"/>
        <w:bottom w:val="none" w:sz="0" w:space="0" w:color="auto"/>
        <w:right w:val="none" w:sz="0" w:space="0" w:color="auto"/>
      </w:divBdr>
    </w:div>
    <w:div w:id="1477575084">
      <w:bodyDiv w:val="1"/>
      <w:marLeft w:val="0"/>
      <w:marRight w:val="0"/>
      <w:marTop w:val="0"/>
      <w:marBottom w:val="0"/>
      <w:divBdr>
        <w:top w:val="none" w:sz="0" w:space="0" w:color="auto"/>
        <w:left w:val="none" w:sz="0" w:space="0" w:color="auto"/>
        <w:bottom w:val="none" w:sz="0" w:space="0" w:color="auto"/>
        <w:right w:val="none" w:sz="0" w:space="0" w:color="auto"/>
      </w:divBdr>
    </w:div>
    <w:div w:id="1541016328">
      <w:bodyDiv w:val="1"/>
      <w:marLeft w:val="0"/>
      <w:marRight w:val="0"/>
      <w:marTop w:val="0"/>
      <w:marBottom w:val="0"/>
      <w:divBdr>
        <w:top w:val="none" w:sz="0" w:space="0" w:color="auto"/>
        <w:left w:val="none" w:sz="0" w:space="0" w:color="auto"/>
        <w:bottom w:val="none" w:sz="0" w:space="0" w:color="auto"/>
        <w:right w:val="none" w:sz="0" w:space="0" w:color="auto"/>
      </w:divBdr>
    </w:div>
    <w:div w:id="1586841478">
      <w:bodyDiv w:val="1"/>
      <w:marLeft w:val="0"/>
      <w:marRight w:val="0"/>
      <w:marTop w:val="0"/>
      <w:marBottom w:val="0"/>
      <w:divBdr>
        <w:top w:val="none" w:sz="0" w:space="0" w:color="auto"/>
        <w:left w:val="none" w:sz="0" w:space="0" w:color="auto"/>
        <w:bottom w:val="none" w:sz="0" w:space="0" w:color="auto"/>
        <w:right w:val="none" w:sz="0" w:space="0" w:color="auto"/>
      </w:divBdr>
    </w:div>
    <w:div w:id="1659966032">
      <w:bodyDiv w:val="1"/>
      <w:marLeft w:val="0"/>
      <w:marRight w:val="0"/>
      <w:marTop w:val="0"/>
      <w:marBottom w:val="0"/>
      <w:divBdr>
        <w:top w:val="none" w:sz="0" w:space="0" w:color="auto"/>
        <w:left w:val="none" w:sz="0" w:space="0" w:color="auto"/>
        <w:bottom w:val="none" w:sz="0" w:space="0" w:color="auto"/>
        <w:right w:val="none" w:sz="0" w:space="0" w:color="auto"/>
      </w:divBdr>
    </w:div>
    <w:div w:id="1743330748">
      <w:bodyDiv w:val="1"/>
      <w:marLeft w:val="0"/>
      <w:marRight w:val="0"/>
      <w:marTop w:val="0"/>
      <w:marBottom w:val="0"/>
      <w:divBdr>
        <w:top w:val="none" w:sz="0" w:space="0" w:color="auto"/>
        <w:left w:val="none" w:sz="0" w:space="0" w:color="auto"/>
        <w:bottom w:val="none" w:sz="0" w:space="0" w:color="auto"/>
        <w:right w:val="none" w:sz="0" w:space="0" w:color="auto"/>
      </w:divBdr>
    </w:div>
    <w:div w:id="1748839388">
      <w:bodyDiv w:val="1"/>
      <w:marLeft w:val="0"/>
      <w:marRight w:val="0"/>
      <w:marTop w:val="0"/>
      <w:marBottom w:val="0"/>
      <w:divBdr>
        <w:top w:val="none" w:sz="0" w:space="0" w:color="auto"/>
        <w:left w:val="none" w:sz="0" w:space="0" w:color="auto"/>
        <w:bottom w:val="none" w:sz="0" w:space="0" w:color="auto"/>
        <w:right w:val="none" w:sz="0" w:space="0" w:color="auto"/>
      </w:divBdr>
    </w:div>
    <w:div w:id="1767843370">
      <w:bodyDiv w:val="1"/>
      <w:marLeft w:val="0"/>
      <w:marRight w:val="0"/>
      <w:marTop w:val="0"/>
      <w:marBottom w:val="0"/>
      <w:divBdr>
        <w:top w:val="none" w:sz="0" w:space="0" w:color="auto"/>
        <w:left w:val="none" w:sz="0" w:space="0" w:color="auto"/>
        <w:bottom w:val="none" w:sz="0" w:space="0" w:color="auto"/>
        <w:right w:val="none" w:sz="0" w:space="0" w:color="auto"/>
      </w:divBdr>
    </w:div>
    <w:div w:id="1770855762">
      <w:bodyDiv w:val="1"/>
      <w:marLeft w:val="0"/>
      <w:marRight w:val="0"/>
      <w:marTop w:val="0"/>
      <w:marBottom w:val="0"/>
      <w:divBdr>
        <w:top w:val="none" w:sz="0" w:space="0" w:color="auto"/>
        <w:left w:val="none" w:sz="0" w:space="0" w:color="auto"/>
        <w:bottom w:val="none" w:sz="0" w:space="0" w:color="auto"/>
        <w:right w:val="none" w:sz="0" w:space="0" w:color="auto"/>
      </w:divBdr>
    </w:div>
    <w:div w:id="1973902926">
      <w:bodyDiv w:val="1"/>
      <w:marLeft w:val="0"/>
      <w:marRight w:val="0"/>
      <w:marTop w:val="0"/>
      <w:marBottom w:val="0"/>
      <w:divBdr>
        <w:top w:val="none" w:sz="0" w:space="0" w:color="auto"/>
        <w:left w:val="none" w:sz="0" w:space="0" w:color="auto"/>
        <w:bottom w:val="none" w:sz="0" w:space="0" w:color="auto"/>
        <w:right w:val="none" w:sz="0" w:space="0" w:color="auto"/>
      </w:divBdr>
    </w:div>
    <w:div w:id="1975941087">
      <w:bodyDiv w:val="1"/>
      <w:marLeft w:val="0"/>
      <w:marRight w:val="0"/>
      <w:marTop w:val="0"/>
      <w:marBottom w:val="0"/>
      <w:divBdr>
        <w:top w:val="none" w:sz="0" w:space="0" w:color="auto"/>
        <w:left w:val="none" w:sz="0" w:space="0" w:color="auto"/>
        <w:bottom w:val="none" w:sz="0" w:space="0" w:color="auto"/>
        <w:right w:val="none" w:sz="0" w:space="0" w:color="auto"/>
      </w:divBdr>
    </w:div>
    <w:div w:id="1989703726">
      <w:bodyDiv w:val="1"/>
      <w:marLeft w:val="0"/>
      <w:marRight w:val="0"/>
      <w:marTop w:val="0"/>
      <w:marBottom w:val="0"/>
      <w:divBdr>
        <w:top w:val="none" w:sz="0" w:space="0" w:color="auto"/>
        <w:left w:val="none" w:sz="0" w:space="0" w:color="auto"/>
        <w:bottom w:val="none" w:sz="0" w:space="0" w:color="auto"/>
        <w:right w:val="none" w:sz="0" w:space="0" w:color="auto"/>
      </w:divBdr>
    </w:div>
    <w:div w:id="1990093660">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51420939">
      <w:bodyDiv w:val="1"/>
      <w:marLeft w:val="0"/>
      <w:marRight w:val="0"/>
      <w:marTop w:val="0"/>
      <w:marBottom w:val="0"/>
      <w:divBdr>
        <w:top w:val="none" w:sz="0" w:space="0" w:color="auto"/>
        <w:left w:val="none" w:sz="0" w:space="0" w:color="auto"/>
        <w:bottom w:val="none" w:sz="0" w:space="0" w:color="auto"/>
        <w:right w:val="none" w:sz="0" w:space="0" w:color="auto"/>
      </w:divBdr>
    </w:div>
    <w:div w:id="2123844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eur-lex.europa.eu/legal-content/EN/TXT/?uri=COM%3A2020%3A790%3AFIN&amp;qid=1607079662423"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3" Type="http://schemas.openxmlformats.org/officeDocument/2006/relationships/hyperlink" Target="https://digital-strategy.ec.europa.eu/en/library/european-declaration-digital-rights-and-principles" TargetMode="External"/><Relationship Id="rId18" Type="http://schemas.openxmlformats.org/officeDocument/2006/relationships/hyperlink" Target="https://curia.europa.eu/juris/document/document.jsf?text=&amp;docid=274642&amp;pageIndex=0&amp;doclang=en&amp;mode=lst&amp;dir=&amp;occ=first&amp;part=1&amp;cid=2183586" TargetMode="External"/><Relationship Id="rId26" Type="http://schemas.openxmlformats.org/officeDocument/2006/relationships/hyperlink" Target="https://commission.europa.eu/strategy-and-policy/policies/justice-and-fundamental-rights/combatting-discrimination/racism-and-xenophobia/eu-code-conduct-countering-illegal-hate-speech-online_en" TargetMode="External"/><Relationship Id="rId39" Type="http://schemas.openxmlformats.org/officeDocument/2006/relationships/hyperlink" Target="https://curia.europa.eu/juris/document/document.jsf?text=&amp;docid=260182&amp;pageIndex=0&amp;doclang=en&amp;mode=lst&amp;dir=&amp;occ=first&amp;part=1&amp;cid=1425556" TargetMode="External"/><Relationship Id="rId21" Type="http://schemas.openxmlformats.org/officeDocument/2006/relationships/hyperlink" Target="https://curia.europa.eu/juris/document/document.jsf?text=&amp;docid=235710&amp;pageIndex=0&amp;doclang=en&amp;mode=req&amp;dir=&amp;occ=first&amp;part=1&amp;cid=4498424" TargetMode="External"/><Relationship Id="rId34" Type="http://schemas.openxmlformats.org/officeDocument/2006/relationships/hyperlink" Target="https://commission.europa.eu/system/files/2022-09/guidelines_for_strategies_and_action_plans_to_enhance_lgbtiq_equality_2022final16_05.pdf" TargetMode="External"/><Relationship Id="rId42" Type="http://schemas.openxmlformats.org/officeDocument/2006/relationships/hyperlink" Target="https://ec.europa.eu/eurostat/databrowser/view/migr_imm5prv/default/table?lang=en" TargetMode="External"/><Relationship Id="rId47" Type="http://schemas.openxmlformats.org/officeDocument/2006/relationships/hyperlink" Target="https://curia.europa.eu/juris/document/document.jsf?text=&amp;docid=251201&amp;pageIndex=0&amp;doclang=EN&amp;mode=req&amp;dir=&amp;occ=first&amp;part=1&amp;cid=105061" TargetMode="External"/><Relationship Id="rId50" Type="http://schemas.openxmlformats.org/officeDocument/2006/relationships/hyperlink" Target="https://roadtoep2024.eu/" TargetMode="External"/><Relationship Id="rId55" Type="http://schemas.openxmlformats.org/officeDocument/2006/relationships/hyperlink" Target="https://curia.europa.eu/juris/document/document.jsf?text=&amp;docid=260522&amp;pageIndex=0&amp;doclang=EN&amp;mode=req&amp;dir=&amp;occ=first&amp;part=1&amp;cid=2204278" TargetMode="External"/><Relationship Id="rId63" Type="http://schemas.openxmlformats.org/officeDocument/2006/relationships/hyperlink" Target="https://curia.europa.eu/juris/document/document.jsf?text=&amp;docid=267915&amp;pageIndex=0&amp;doclang=en&amp;mode=lst&amp;dir=&amp;occ=first&amp;part=1&amp;cid=5932376" TargetMode="External"/><Relationship Id="rId7" Type="http://schemas.openxmlformats.org/officeDocument/2006/relationships/hyperlink" Target="https://eur-lex.europa.eu/legal-content/EN/TXT/?uri=CELEX:52022DC0437" TargetMode="External"/><Relationship Id="rId2" Type="http://schemas.openxmlformats.org/officeDocument/2006/relationships/hyperlink" Target="https://eur-lex.europa.eu/legal-content/EN/TXT/PDF/?uri=CELEX:52020DC0731" TargetMode="External"/><Relationship Id="rId16" Type="http://schemas.openxmlformats.org/officeDocument/2006/relationships/hyperlink" Target="https://ec.europa.eu/commission/presscorner/detail/EN/IP_22_5422" TargetMode="External"/><Relationship Id="rId20" Type="http://schemas.openxmlformats.org/officeDocument/2006/relationships/hyperlink" Target="https://curia.europa.eu/juris/document/document.jsf?text=&amp;docid=268789&amp;pageIndex=0&amp;doclang=EN&amp;mode=lst&amp;dir=&amp;occ=first&amp;part=1&amp;cid=4499276" TargetMode="External"/><Relationship Id="rId29" Type="http://schemas.openxmlformats.org/officeDocument/2006/relationships/hyperlink" Target="https://ec.europa.eu/social/main.jsp?catId=1597&amp;langId=en" TargetMode="External"/><Relationship Id="rId41" Type="http://schemas.openxmlformats.org/officeDocument/2006/relationships/hyperlink" Target="https://ec.europa.eu/eurostat/databrowser/view/migr_pop1ctz/default/table?lang=en" TargetMode="External"/><Relationship Id="rId54" Type="http://schemas.openxmlformats.org/officeDocument/2006/relationships/hyperlink" Target="https://cordis.europa.eu/programme/id/HORIZON_HORIZON-CL2-2023-DEMOCRACY-01-02" TargetMode="External"/><Relationship Id="rId62" Type="http://schemas.openxmlformats.org/officeDocument/2006/relationships/hyperlink" Target="https://ec.europa.eu/commission/presscorner/detail/en/mex_20_1359" TargetMode="External"/><Relationship Id="rId1" Type="http://schemas.openxmlformats.org/officeDocument/2006/relationships/hyperlink" Target="https://eur-lex.europa.eu/legal-content/EN/TXT/PDF/?uri=CELEX:52020DC0730&amp;qid=1682429814881" TargetMode="External"/><Relationship Id="rId6" Type="http://schemas.openxmlformats.org/officeDocument/2006/relationships/hyperlink" Target="http://data.europa.eu/eli/dir/2015/637/oj" TargetMode="External"/><Relationship Id="rId11" Type="http://schemas.openxmlformats.org/officeDocument/2006/relationships/hyperlink" Target="https://citizens-initiative.europa.eu/schools/eci-educational-toolkit_en" TargetMode="External"/><Relationship Id="rId24" Type="http://schemas.openxmlformats.org/officeDocument/2006/relationships/hyperlink" Target="https://commission.europa.eu/strategy-and-policy/policies/justice-and-fundamental-rights/combatting-discrimination/racism-and-xenophobia/eu-anti-racism-action-plan-2020-2025_en" TargetMode="External"/><Relationship Id="rId32" Type="http://schemas.openxmlformats.org/officeDocument/2006/relationships/hyperlink" Target="https://ec.europa.eu/commission/presscorner/detail/en/ip_22_7509" TargetMode="External"/><Relationship Id="rId37" Type="http://schemas.openxmlformats.org/officeDocument/2006/relationships/hyperlink" Target="https://curia.europa.eu/juris/document/document.jsf?text=&amp;docid=267126&amp;pageIndex=0&amp;doclang=en&amp;mode=req&amp;dir=&amp;occ=first&amp;part=1&amp;cid=1456655" TargetMode="External"/><Relationship Id="rId40" Type="http://schemas.openxmlformats.org/officeDocument/2006/relationships/hyperlink" Target="https://curia.europa.eu/juris/document/document.jsf?text=&amp;docid=269149&amp;pageIndex=0&amp;doclang=en&amp;mode=lst&amp;dir=&amp;occ=first&amp;part=1&amp;cid=1432718" TargetMode="External"/><Relationship Id="rId45" Type="http://schemas.openxmlformats.org/officeDocument/2006/relationships/hyperlink" Target="https://ec.europa.eu/commission/presscorner/detail/en/IP_23_3043" TargetMode="External"/><Relationship Id="rId53" Type="http://schemas.openxmlformats.org/officeDocument/2006/relationships/hyperlink" Target="https://cordis.europa.eu/programme/id/HORIZON_HORIZON-CL2-2023-DEMOCRACY-01-01" TargetMode="External"/><Relationship Id="rId58" Type="http://schemas.openxmlformats.org/officeDocument/2006/relationships/hyperlink" Target="https://www.europarl.europa.eu/doceo/document/PETI-PR-749894_EN.pdf" TargetMode="External"/><Relationship Id="rId5" Type="http://schemas.openxmlformats.org/officeDocument/2006/relationships/hyperlink" Target="https://commission.europa.eu/system/files/2020-04/political-guidelines-next-commission_en_0.pdf" TargetMode="External"/><Relationship Id="rId15" Type="http://schemas.openxmlformats.org/officeDocument/2006/relationships/hyperlink" Target="https://ec.europa.eu/commission/presscorner/detail/en/ip_20_1925" TargetMode="External"/><Relationship Id="rId23" Type="http://schemas.openxmlformats.org/officeDocument/2006/relationships/hyperlink" Target="https://commission.europa.eu/system/files/2023-04/annual_report_GE_2023_web_EN.pdf" TargetMode="External"/><Relationship Id="rId28" Type="http://schemas.openxmlformats.org/officeDocument/2006/relationships/hyperlink" Target="https://www.consilium.europa.eu/en/press/press-releases/2022/03/04/council-adopts-conclusions-on-combating-racism-and-antisemitism/" TargetMode="External"/><Relationship Id="rId36" Type="http://schemas.openxmlformats.org/officeDocument/2006/relationships/hyperlink" Target="https://eudiversity2023.eu/" TargetMode="External"/><Relationship Id="rId49" Type="http://schemas.openxmlformats.org/officeDocument/2006/relationships/hyperlink" Target="https://ec.europa.eu/information_society/newsroom/image/document/2018-30/election_security_compendium_00BE09F9-D2BE-5D69-9E39C5A9C81C290F_53645.pdf" TargetMode="External"/><Relationship Id="rId57" Type="http://schemas.openxmlformats.org/officeDocument/2006/relationships/hyperlink" Target="http://data.europa.eu/eli/dec_impl/2022/2452/oj" TargetMode="External"/><Relationship Id="rId61" Type="http://schemas.openxmlformats.org/officeDocument/2006/relationships/hyperlink" Target="https://www.ombudsman.europa.eu/en/doc/annual-report/en/167855" TargetMode="External"/><Relationship Id="rId10" Type="http://schemas.openxmlformats.org/officeDocument/2006/relationships/hyperlink" Target="https://www.europarl.europa.eu/resources/library/media/20220509RES29121/20220509RES29121.pdf" TargetMode="External"/><Relationship Id="rId19" Type="http://schemas.openxmlformats.org/officeDocument/2006/relationships/hyperlink" Target="https://eur-lex.europa.eu/legal-content/en/TXT/?uri=CELEX:62021CJ0502" TargetMode="External"/><Relationship Id="rId31" Type="http://schemas.openxmlformats.org/officeDocument/2006/relationships/hyperlink" Target="https://eu-for-children.europa.eu/" TargetMode="External"/><Relationship Id="rId44" Type="http://schemas.openxmlformats.org/officeDocument/2006/relationships/hyperlink" Target="https://www.ombudsman.europa.eu/en/press-release/en/171613" TargetMode="External"/><Relationship Id="rId52" Type="http://schemas.openxmlformats.org/officeDocument/2006/relationships/hyperlink" Target="https://citizens.ec.europa.eu/index_en" TargetMode="External"/><Relationship Id="rId60" Type="http://schemas.openxmlformats.org/officeDocument/2006/relationships/hyperlink" Target="https://www.ombudsman.europa.eu/en/doc/annual-report/en/156017" TargetMode="External"/><Relationship Id="rId4" Type="http://schemas.openxmlformats.org/officeDocument/2006/relationships/hyperlink" Target="https://eur-lex.europa.eu/legal-content/EN/TXT/PDF/?uri=CELEX:52020DC0730&amp;qid=1682429814881" TargetMode="External"/><Relationship Id="rId9" Type="http://schemas.openxmlformats.org/officeDocument/2006/relationships/hyperlink" Target="https://europa.eu/european-union/contact_en" TargetMode="External"/><Relationship Id="rId14" Type="http://schemas.openxmlformats.org/officeDocument/2006/relationships/hyperlink" Target="https://digital-strategy.ec.europa.eu/en/library/2023-report-state-digital-decade" TargetMode="External"/><Relationship Id="rId22" Type="http://schemas.openxmlformats.org/officeDocument/2006/relationships/hyperlink" Target="https://curia.europa.eu/juris/document/document.jsf?text=%2522Non-discrimination%2Bon%2Bgrounds%2Bof%2Bnationality%2522&amp;docid=253726&amp;pageIndex=0&amp;doclang=EN&amp;mode=req&amp;dir=&amp;occ=first&amp;part=1&amp;cid=6048896" TargetMode="External"/><Relationship Id="rId27" Type="http://schemas.openxmlformats.org/officeDocument/2006/relationships/hyperlink" Target="https://commission.europa.eu/strategy-and-policy/policies/justice-and-fundamental-rights/combatting-discrimination/racism-and-xenophobia/combating-antisemitism/eu-strategy-combating-antisemitism-and-fostering-jewish-life-2021-2030/about-eu-strategy_en" TargetMode="External"/><Relationship Id="rId30" Type="http://schemas.openxmlformats.org/officeDocument/2006/relationships/hyperlink" Target="https://ec.europa.eu/info/law/better-regulation/have-your-say/initiatives/13517-European-disability-card_en" TargetMode="External"/><Relationship Id="rId35" Type="http://schemas.openxmlformats.org/officeDocument/2006/relationships/hyperlink" Target="https://ec.europa.eu/commission/presscorner/detail/en/ip_22_7507" TargetMode="External"/><Relationship Id="rId43" Type="http://schemas.openxmlformats.org/officeDocument/2006/relationships/hyperlink" Target="https://europa.eu/youreurope/advice/" TargetMode="External"/><Relationship Id="rId48" Type="http://schemas.openxmlformats.org/officeDocument/2006/relationships/hyperlink" Target="https://elections.europa.eu/en/" TargetMode="External"/><Relationship Id="rId56" Type="http://schemas.openxmlformats.org/officeDocument/2006/relationships/hyperlink" Target="http://data.europa.eu/eli/dir/2019/997/oj" TargetMode="External"/><Relationship Id="rId8" Type="http://schemas.openxmlformats.org/officeDocument/2006/relationships/hyperlink" Target="https://www.europarl.europa.eu/at-your-service/files/be-heard/eurobarometer/2023/eu-citizens-in-uk-2023-report-en.pdf" TargetMode="External"/><Relationship Id="rId51" Type="http://schemas.openxmlformats.org/officeDocument/2006/relationships/hyperlink" Target="https://ec.europa.eu/commission/presscorner/detail/en/ip_22_5504" TargetMode="External"/><Relationship Id="rId3" Type="http://schemas.openxmlformats.org/officeDocument/2006/relationships/hyperlink" Target="https://ec.europa.eu/info/law/better-regulation/have-your-say/initiatives/13699-EU-Citizenship-Report-2023_en" TargetMode="External"/><Relationship Id="rId12" Type="http://schemas.openxmlformats.org/officeDocument/2006/relationships/hyperlink" Target="https://ec.europa.eu/commission/presscorner/detail/en/IP_22_452" TargetMode="External"/><Relationship Id="rId17" Type="http://schemas.openxmlformats.org/officeDocument/2006/relationships/hyperlink" Target="https://curia.europa.eu/juris/document/document.jsf?text=&amp;docid=274657&amp;pageIndex=0&amp;doclang=en&amp;mode=lst&amp;dir=&amp;occ=first&amp;part=1&amp;cid=2182776" TargetMode="External"/><Relationship Id="rId25" Type="http://schemas.openxmlformats.org/officeDocument/2006/relationships/hyperlink" Target="https://commission.europa.eu/system/files/2022-05/common_guiding_principles_for_national_action_plans_against_racism_and_racial_discrimination.pdf" TargetMode="External"/><Relationship Id="rId33" Type="http://schemas.openxmlformats.org/officeDocument/2006/relationships/hyperlink" Target="https://commission.europa.eu/system/files/2023-04/JUST_LGBTIQ%20Strategy_Progress%20Report_FINAL_WEB.pdf" TargetMode="External"/><Relationship Id="rId38" Type="http://schemas.openxmlformats.org/officeDocument/2006/relationships/hyperlink" Target="https://curia.europa.eu/jcms/upload/docs/application/pdf/2022-10/cp220167en.pdf" TargetMode="External"/><Relationship Id="rId46" Type="http://schemas.openxmlformats.org/officeDocument/2006/relationships/hyperlink" Target="https://www.who.int/news/item/05-05-2023-statement-on-the-fifteenth-meeting-of-the-international-health-regulations-(2005)-emergency-committee-regarding-the-coronavirus-disease-(covid-19)-pandemic" TargetMode="External"/><Relationship Id="rId59" Type="http://schemas.openxmlformats.org/officeDocument/2006/relationships/hyperlink" Target="https://www.ombudsman.europa.eu/en/doc/annual-report/en/1413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BE6260-19A6-4DB2-A6FD-888A7BF71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15086</Words>
  <Characters>82221</Characters>
  <Application>Microsoft Office Word</Application>
  <DocSecurity>0</DocSecurity>
  <Lines>1227</Lines>
  <Paragraphs>327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96980</CharactersWithSpaces>
  <SharedDoc>false</SharedDoc>
  <HLinks>
    <vt:vector size="618" baseType="variant">
      <vt:variant>
        <vt:i4>5636122</vt:i4>
      </vt:variant>
      <vt:variant>
        <vt:i4>249</vt:i4>
      </vt:variant>
      <vt:variant>
        <vt:i4>0</vt:i4>
      </vt:variant>
      <vt:variant>
        <vt:i4>5</vt:i4>
      </vt:variant>
      <vt:variant>
        <vt:lpwstr>https://eur-lex.europa.eu/legal-content/EN/TXT/?uri=COM%3A2020%3A790%3AFIN&amp;qid=1607079662423</vt:lpwstr>
      </vt:variant>
      <vt:variant>
        <vt:lpwstr/>
      </vt:variant>
      <vt:variant>
        <vt:i4>1900596</vt:i4>
      </vt:variant>
      <vt:variant>
        <vt:i4>242</vt:i4>
      </vt:variant>
      <vt:variant>
        <vt:i4>0</vt:i4>
      </vt:variant>
      <vt:variant>
        <vt:i4>5</vt:i4>
      </vt:variant>
      <vt:variant>
        <vt:lpwstr/>
      </vt:variant>
      <vt:variant>
        <vt:lpwstr>_Toc150855024</vt:lpwstr>
      </vt:variant>
      <vt:variant>
        <vt:i4>1900596</vt:i4>
      </vt:variant>
      <vt:variant>
        <vt:i4>236</vt:i4>
      </vt:variant>
      <vt:variant>
        <vt:i4>0</vt:i4>
      </vt:variant>
      <vt:variant>
        <vt:i4>5</vt:i4>
      </vt:variant>
      <vt:variant>
        <vt:lpwstr/>
      </vt:variant>
      <vt:variant>
        <vt:lpwstr>_Toc150855023</vt:lpwstr>
      </vt:variant>
      <vt:variant>
        <vt:i4>1900596</vt:i4>
      </vt:variant>
      <vt:variant>
        <vt:i4>230</vt:i4>
      </vt:variant>
      <vt:variant>
        <vt:i4>0</vt:i4>
      </vt:variant>
      <vt:variant>
        <vt:i4>5</vt:i4>
      </vt:variant>
      <vt:variant>
        <vt:lpwstr/>
      </vt:variant>
      <vt:variant>
        <vt:lpwstr>_Toc150855022</vt:lpwstr>
      </vt:variant>
      <vt:variant>
        <vt:i4>1900596</vt:i4>
      </vt:variant>
      <vt:variant>
        <vt:i4>224</vt:i4>
      </vt:variant>
      <vt:variant>
        <vt:i4>0</vt:i4>
      </vt:variant>
      <vt:variant>
        <vt:i4>5</vt:i4>
      </vt:variant>
      <vt:variant>
        <vt:lpwstr/>
      </vt:variant>
      <vt:variant>
        <vt:lpwstr>_Toc150855021</vt:lpwstr>
      </vt:variant>
      <vt:variant>
        <vt:i4>1900596</vt:i4>
      </vt:variant>
      <vt:variant>
        <vt:i4>218</vt:i4>
      </vt:variant>
      <vt:variant>
        <vt:i4>0</vt:i4>
      </vt:variant>
      <vt:variant>
        <vt:i4>5</vt:i4>
      </vt:variant>
      <vt:variant>
        <vt:lpwstr/>
      </vt:variant>
      <vt:variant>
        <vt:lpwstr>_Toc150855020</vt:lpwstr>
      </vt:variant>
      <vt:variant>
        <vt:i4>1966132</vt:i4>
      </vt:variant>
      <vt:variant>
        <vt:i4>212</vt:i4>
      </vt:variant>
      <vt:variant>
        <vt:i4>0</vt:i4>
      </vt:variant>
      <vt:variant>
        <vt:i4>5</vt:i4>
      </vt:variant>
      <vt:variant>
        <vt:lpwstr/>
      </vt:variant>
      <vt:variant>
        <vt:lpwstr>_Toc150855019</vt:lpwstr>
      </vt:variant>
      <vt:variant>
        <vt:i4>1966132</vt:i4>
      </vt:variant>
      <vt:variant>
        <vt:i4>206</vt:i4>
      </vt:variant>
      <vt:variant>
        <vt:i4>0</vt:i4>
      </vt:variant>
      <vt:variant>
        <vt:i4>5</vt:i4>
      </vt:variant>
      <vt:variant>
        <vt:lpwstr/>
      </vt:variant>
      <vt:variant>
        <vt:lpwstr>_Toc150855018</vt:lpwstr>
      </vt:variant>
      <vt:variant>
        <vt:i4>1966132</vt:i4>
      </vt:variant>
      <vt:variant>
        <vt:i4>200</vt:i4>
      </vt:variant>
      <vt:variant>
        <vt:i4>0</vt:i4>
      </vt:variant>
      <vt:variant>
        <vt:i4>5</vt:i4>
      </vt:variant>
      <vt:variant>
        <vt:lpwstr/>
      </vt:variant>
      <vt:variant>
        <vt:lpwstr>_Toc150855017</vt:lpwstr>
      </vt:variant>
      <vt:variant>
        <vt:i4>1966132</vt:i4>
      </vt:variant>
      <vt:variant>
        <vt:i4>194</vt:i4>
      </vt:variant>
      <vt:variant>
        <vt:i4>0</vt:i4>
      </vt:variant>
      <vt:variant>
        <vt:i4>5</vt:i4>
      </vt:variant>
      <vt:variant>
        <vt:lpwstr/>
      </vt:variant>
      <vt:variant>
        <vt:lpwstr>_Toc150855016</vt:lpwstr>
      </vt:variant>
      <vt:variant>
        <vt:i4>1966132</vt:i4>
      </vt:variant>
      <vt:variant>
        <vt:i4>188</vt:i4>
      </vt:variant>
      <vt:variant>
        <vt:i4>0</vt:i4>
      </vt:variant>
      <vt:variant>
        <vt:i4>5</vt:i4>
      </vt:variant>
      <vt:variant>
        <vt:lpwstr/>
      </vt:variant>
      <vt:variant>
        <vt:lpwstr>_Toc150855015</vt:lpwstr>
      </vt:variant>
      <vt:variant>
        <vt:i4>1966132</vt:i4>
      </vt:variant>
      <vt:variant>
        <vt:i4>182</vt:i4>
      </vt:variant>
      <vt:variant>
        <vt:i4>0</vt:i4>
      </vt:variant>
      <vt:variant>
        <vt:i4>5</vt:i4>
      </vt:variant>
      <vt:variant>
        <vt:lpwstr/>
      </vt:variant>
      <vt:variant>
        <vt:lpwstr>_Toc150855014</vt:lpwstr>
      </vt:variant>
      <vt:variant>
        <vt:i4>1966132</vt:i4>
      </vt:variant>
      <vt:variant>
        <vt:i4>176</vt:i4>
      </vt:variant>
      <vt:variant>
        <vt:i4>0</vt:i4>
      </vt:variant>
      <vt:variant>
        <vt:i4>5</vt:i4>
      </vt:variant>
      <vt:variant>
        <vt:lpwstr/>
      </vt:variant>
      <vt:variant>
        <vt:lpwstr>_Toc150855013</vt:lpwstr>
      </vt:variant>
      <vt:variant>
        <vt:i4>1966132</vt:i4>
      </vt:variant>
      <vt:variant>
        <vt:i4>170</vt:i4>
      </vt:variant>
      <vt:variant>
        <vt:i4>0</vt:i4>
      </vt:variant>
      <vt:variant>
        <vt:i4>5</vt:i4>
      </vt:variant>
      <vt:variant>
        <vt:lpwstr/>
      </vt:variant>
      <vt:variant>
        <vt:lpwstr>_Toc150855012</vt:lpwstr>
      </vt:variant>
      <vt:variant>
        <vt:i4>1966132</vt:i4>
      </vt:variant>
      <vt:variant>
        <vt:i4>164</vt:i4>
      </vt:variant>
      <vt:variant>
        <vt:i4>0</vt:i4>
      </vt:variant>
      <vt:variant>
        <vt:i4>5</vt:i4>
      </vt:variant>
      <vt:variant>
        <vt:lpwstr/>
      </vt:variant>
      <vt:variant>
        <vt:lpwstr>_Toc150855011</vt:lpwstr>
      </vt:variant>
      <vt:variant>
        <vt:i4>1966132</vt:i4>
      </vt:variant>
      <vt:variant>
        <vt:i4>158</vt:i4>
      </vt:variant>
      <vt:variant>
        <vt:i4>0</vt:i4>
      </vt:variant>
      <vt:variant>
        <vt:i4>5</vt:i4>
      </vt:variant>
      <vt:variant>
        <vt:lpwstr/>
      </vt:variant>
      <vt:variant>
        <vt:lpwstr>_Toc150855010</vt:lpwstr>
      </vt:variant>
      <vt:variant>
        <vt:i4>2031668</vt:i4>
      </vt:variant>
      <vt:variant>
        <vt:i4>152</vt:i4>
      </vt:variant>
      <vt:variant>
        <vt:i4>0</vt:i4>
      </vt:variant>
      <vt:variant>
        <vt:i4>5</vt:i4>
      </vt:variant>
      <vt:variant>
        <vt:lpwstr/>
      </vt:variant>
      <vt:variant>
        <vt:lpwstr>_Toc150855009</vt:lpwstr>
      </vt:variant>
      <vt:variant>
        <vt:i4>2031668</vt:i4>
      </vt:variant>
      <vt:variant>
        <vt:i4>146</vt:i4>
      </vt:variant>
      <vt:variant>
        <vt:i4>0</vt:i4>
      </vt:variant>
      <vt:variant>
        <vt:i4>5</vt:i4>
      </vt:variant>
      <vt:variant>
        <vt:lpwstr/>
      </vt:variant>
      <vt:variant>
        <vt:lpwstr>_Toc150855008</vt:lpwstr>
      </vt:variant>
      <vt:variant>
        <vt:i4>2031668</vt:i4>
      </vt:variant>
      <vt:variant>
        <vt:i4>140</vt:i4>
      </vt:variant>
      <vt:variant>
        <vt:i4>0</vt:i4>
      </vt:variant>
      <vt:variant>
        <vt:i4>5</vt:i4>
      </vt:variant>
      <vt:variant>
        <vt:lpwstr/>
      </vt:variant>
      <vt:variant>
        <vt:lpwstr>_Toc150855007</vt:lpwstr>
      </vt:variant>
      <vt:variant>
        <vt:i4>2031668</vt:i4>
      </vt:variant>
      <vt:variant>
        <vt:i4>134</vt:i4>
      </vt:variant>
      <vt:variant>
        <vt:i4>0</vt:i4>
      </vt:variant>
      <vt:variant>
        <vt:i4>5</vt:i4>
      </vt:variant>
      <vt:variant>
        <vt:lpwstr/>
      </vt:variant>
      <vt:variant>
        <vt:lpwstr>_Toc150855006</vt:lpwstr>
      </vt:variant>
      <vt:variant>
        <vt:i4>2031668</vt:i4>
      </vt:variant>
      <vt:variant>
        <vt:i4>128</vt:i4>
      </vt:variant>
      <vt:variant>
        <vt:i4>0</vt:i4>
      </vt:variant>
      <vt:variant>
        <vt:i4>5</vt:i4>
      </vt:variant>
      <vt:variant>
        <vt:lpwstr/>
      </vt:variant>
      <vt:variant>
        <vt:lpwstr>_Toc150855005</vt:lpwstr>
      </vt:variant>
      <vt:variant>
        <vt:i4>2031668</vt:i4>
      </vt:variant>
      <vt:variant>
        <vt:i4>122</vt:i4>
      </vt:variant>
      <vt:variant>
        <vt:i4>0</vt:i4>
      </vt:variant>
      <vt:variant>
        <vt:i4>5</vt:i4>
      </vt:variant>
      <vt:variant>
        <vt:lpwstr/>
      </vt:variant>
      <vt:variant>
        <vt:lpwstr>_Toc150855004</vt:lpwstr>
      </vt:variant>
      <vt:variant>
        <vt:i4>2031668</vt:i4>
      </vt:variant>
      <vt:variant>
        <vt:i4>116</vt:i4>
      </vt:variant>
      <vt:variant>
        <vt:i4>0</vt:i4>
      </vt:variant>
      <vt:variant>
        <vt:i4>5</vt:i4>
      </vt:variant>
      <vt:variant>
        <vt:lpwstr/>
      </vt:variant>
      <vt:variant>
        <vt:lpwstr>_Toc150855003</vt:lpwstr>
      </vt:variant>
      <vt:variant>
        <vt:i4>2031668</vt:i4>
      </vt:variant>
      <vt:variant>
        <vt:i4>110</vt:i4>
      </vt:variant>
      <vt:variant>
        <vt:i4>0</vt:i4>
      </vt:variant>
      <vt:variant>
        <vt:i4>5</vt:i4>
      </vt:variant>
      <vt:variant>
        <vt:lpwstr/>
      </vt:variant>
      <vt:variant>
        <vt:lpwstr>_Toc150855002</vt:lpwstr>
      </vt:variant>
      <vt:variant>
        <vt:i4>2031668</vt:i4>
      </vt:variant>
      <vt:variant>
        <vt:i4>104</vt:i4>
      </vt:variant>
      <vt:variant>
        <vt:i4>0</vt:i4>
      </vt:variant>
      <vt:variant>
        <vt:i4>5</vt:i4>
      </vt:variant>
      <vt:variant>
        <vt:lpwstr/>
      </vt:variant>
      <vt:variant>
        <vt:lpwstr>_Toc150855001</vt:lpwstr>
      </vt:variant>
      <vt:variant>
        <vt:i4>2031668</vt:i4>
      </vt:variant>
      <vt:variant>
        <vt:i4>98</vt:i4>
      </vt:variant>
      <vt:variant>
        <vt:i4>0</vt:i4>
      </vt:variant>
      <vt:variant>
        <vt:i4>5</vt:i4>
      </vt:variant>
      <vt:variant>
        <vt:lpwstr/>
      </vt:variant>
      <vt:variant>
        <vt:lpwstr>_Toc150855000</vt:lpwstr>
      </vt:variant>
      <vt:variant>
        <vt:i4>1507389</vt:i4>
      </vt:variant>
      <vt:variant>
        <vt:i4>92</vt:i4>
      </vt:variant>
      <vt:variant>
        <vt:i4>0</vt:i4>
      </vt:variant>
      <vt:variant>
        <vt:i4>5</vt:i4>
      </vt:variant>
      <vt:variant>
        <vt:lpwstr/>
      </vt:variant>
      <vt:variant>
        <vt:lpwstr>_Toc150854999</vt:lpwstr>
      </vt:variant>
      <vt:variant>
        <vt:i4>1507389</vt:i4>
      </vt:variant>
      <vt:variant>
        <vt:i4>86</vt:i4>
      </vt:variant>
      <vt:variant>
        <vt:i4>0</vt:i4>
      </vt:variant>
      <vt:variant>
        <vt:i4>5</vt:i4>
      </vt:variant>
      <vt:variant>
        <vt:lpwstr/>
      </vt:variant>
      <vt:variant>
        <vt:lpwstr>_Toc150854998</vt:lpwstr>
      </vt:variant>
      <vt:variant>
        <vt:i4>1507389</vt:i4>
      </vt:variant>
      <vt:variant>
        <vt:i4>80</vt:i4>
      </vt:variant>
      <vt:variant>
        <vt:i4>0</vt:i4>
      </vt:variant>
      <vt:variant>
        <vt:i4>5</vt:i4>
      </vt:variant>
      <vt:variant>
        <vt:lpwstr/>
      </vt:variant>
      <vt:variant>
        <vt:lpwstr>_Toc150854997</vt:lpwstr>
      </vt:variant>
      <vt:variant>
        <vt:i4>1507389</vt:i4>
      </vt:variant>
      <vt:variant>
        <vt:i4>74</vt:i4>
      </vt:variant>
      <vt:variant>
        <vt:i4>0</vt:i4>
      </vt:variant>
      <vt:variant>
        <vt:i4>5</vt:i4>
      </vt:variant>
      <vt:variant>
        <vt:lpwstr/>
      </vt:variant>
      <vt:variant>
        <vt:lpwstr>_Toc150854996</vt:lpwstr>
      </vt:variant>
      <vt:variant>
        <vt:i4>1507389</vt:i4>
      </vt:variant>
      <vt:variant>
        <vt:i4>68</vt:i4>
      </vt:variant>
      <vt:variant>
        <vt:i4>0</vt:i4>
      </vt:variant>
      <vt:variant>
        <vt:i4>5</vt:i4>
      </vt:variant>
      <vt:variant>
        <vt:lpwstr/>
      </vt:variant>
      <vt:variant>
        <vt:lpwstr>_Toc150854995</vt:lpwstr>
      </vt:variant>
      <vt:variant>
        <vt:i4>1507389</vt:i4>
      </vt:variant>
      <vt:variant>
        <vt:i4>62</vt:i4>
      </vt:variant>
      <vt:variant>
        <vt:i4>0</vt:i4>
      </vt:variant>
      <vt:variant>
        <vt:i4>5</vt:i4>
      </vt:variant>
      <vt:variant>
        <vt:lpwstr/>
      </vt:variant>
      <vt:variant>
        <vt:lpwstr>_Toc150854994</vt:lpwstr>
      </vt:variant>
      <vt:variant>
        <vt:i4>1507389</vt:i4>
      </vt:variant>
      <vt:variant>
        <vt:i4>56</vt:i4>
      </vt:variant>
      <vt:variant>
        <vt:i4>0</vt:i4>
      </vt:variant>
      <vt:variant>
        <vt:i4>5</vt:i4>
      </vt:variant>
      <vt:variant>
        <vt:lpwstr/>
      </vt:variant>
      <vt:variant>
        <vt:lpwstr>_Toc150854993</vt:lpwstr>
      </vt:variant>
      <vt:variant>
        <vt:i4>1507389</vt:i4>
      </vt:variant>
      <vt:variant>
        <vt:i4>50</vt:i4>
      </vt:variant>
      <vt:variant>
        <vt:i4>0</vt:i4>
      </vt:variant>
      <vt:variant>
        <vt:i4>5</vt:i4>
      </vt:variant>
      <vt:variant>
        <vt:lpwstr/>
      </vt:variant>
      <vt:variant>
        <vt:lpwstr>_Toc150854992</vt:lpwstr>
      </vt:variant>
      <vt:variant>
        <vt:i4>1507389</vt:i4>
      </vt:variant>
      <vt:variant>
        <vt:i4>44</vt:i4>
      </vt:variant>
      <vt:variant>
        <vt:i4>0</vt:i4>
      </vt:variant>
      <vt:variant>
        <vt:i4>5</vt:i4>
      </vt:variant>
      <vt:variant>
        <vt:lpwstr/>
      </vt:variant>
      <vt:variant>
        <vt:lpwstr>_Toc150854991</vt:lpwstr>
      </vt:variant>
      <vt:variant>
        <vt:i4>1507389</vt:i4>
      </vt:variant>
      <vt:variant>
        <vt:i4>38</vt:i4>
      </vt:variant>
      <vt:variant>
        <vt:i4>0</vt:i4>
      </vt:variant>
      <vt:variant>
        <vt:i4>5</vt:i4>
      </vt:variant>
      <vt:variant>
        <vt:lpwstr/>
      </vt:variant>
      <vt:variant>
        <vt:lpwstr>_Toc150854990</vt:lpwstr>
      </vt:variant>
      <vt:variant>
        <vt:i4>1441853</vt:i4>
      </vt:variant>
      <vt:variant>
        <vt:i4>32</vt:i4>
      </vt:variant>
      <vt:variant>
        <vt:i4>0</vt:i4>
      </vt:variant>
      <vt:variant>
        <vt:i4>5</vt:i4>
      </vt:variant>
      <vt:variant>
        <vt:lpwstr/>
      </vt:variant>
      <vt:variant>
        <vt:lpwstr>_Toc150854989</vt:lpwstr>
      </vt:variant>
      <vt:variant>
        <vt:i4>1441853</vt:i4>
      </vt:variant>
      <vt:variant>
        <vt:i4>26</vt:i4>
      </vt:variant>
      <vt:variant>
        <vt:i4>0</vt:i4>
      </vt:variant>
      <vt:variant>
        <vt:i4>5</vt:i4>
      </vt:variant>
      <vt:variant>
        <vt:lpwstr/>
      </vt:variant>
      <vt:variant>
        <vt:lpwstr>_Toc150854988</vt:lpwstr>
      </vt:variant>
      <vt:variant>
        <vt:i4>1441853</vt:i4>
      </vt:variant>
      <vt:variant>
        <vt:i4>20</vt:i4>
      </vt:variant>
      <vt:variant>
        <vt:i4>0</vt:i4>
      </vt:variant>
      <vt:variant>
        <vt:i4>5</vt:i4>
      </vt:variant>
      <vt:variant>
        <vt:lpwstr/>
      </vt:variant>
      <vt:variant>
        <vt:lpwstr>_Toc150854987</vt:lpwstr>
      </vt:variant>
      <vt:variant>
        <vt:i4>1441853</vt:i4>
      </vt:variant>
      <vt:variant>
        <vt:i4>14</vt:i4>
      </vt:variant>
      <vt:variant>
        <vt:i4>0</vt:i4>
      </vt:variant>
      <vt:variant>
        <vt:i4>5</vt:i4>
      </vt:variant>
      <vt:variant>
        <vt:lpwstr/>
      </vt:variant>
      <vt:variant>
        <vt:lpwstr>_Toc150854986</vt:lpwstr>
      </vt:variant>
      <vt:variant>
        <vt:i4>1441853</vt:i4>
      </vt:variant>
      <vt:variant>
        <vt:i4>8</vt:i4>
      </vt:variant>
      <vt:variant>
        <vt:i4>0</vt:i4>
      </vt:variant>
      <vt:variant>
        <vt:i4>5</vt:i4>
      </vt:variant>
      <vt:variant>
        <vt:lpwstr/>
      </vt:variant>
      <vt:variant>
        <vt:lpwstr>_Toc150854985</vt:lpwstr>
      </vt:variant>
      <vt:variant>
        <vt:i4>1441853</vt:i4>
      </vt:variant>
      <vt:variant>
        <vt:i4>2</vt:i4>
      </vt:variant>
      <vt:variant>
        <vt:i4>0</vt:i4>
      </vt:variant>
      <vt:variant>
        <vt:i4>5</vt:i4>
      </vt:variant>
      <vt:variant>
        <vt:lpwstr/>
      </vt:variant>
      <vt:variant>
        <vt:lpwstr>_Toc150854984</vt:lpwstr>
      </vt:variant>
      <vt:variant>
        <vt:i4>655369</vt:i4>
      </vt:variant>
      <vt:variant>
        <vt:i4>186</vt:i4>
      </vt:variant>
      <vt:variant>
        <vt:i4>0</vt:i4>
      </vt:variant>
      <vt:variant>
        <vt:i4>5</vt:i4>
      </vt:variant>
      <vt:variant>
        <vt:lpwstr>https://curia.europa.eu/juris/document/document.jsf?text=&amp;docid=267915&amp;pageIndex=0&amp;doclang=en&amp;mode=lst&amp;dir=&amp;occ=first&amp;part=1&amp;cid=5932376</vt:lpwstr>
      </vt:variant>
      <vt:variant>
        <vt:lpwstr/>
      </vt:variant>
      <vt:variant>
        <vt:i4>7077930</vt:i4>
      </vt:variant>
      <vt:variant>
        <vt:i4>183</vt:i4>
      </vt:variant>
      <vt:variant>
        <vt:i4>0</vt:i4>
      </vt:variant>
      <vt:variant>
        <vt:i4>5</vt:i4>
      </vt:variant>
      <vt:variant>
        <vt:lpwstr>https://ec.europa.eu/commission/presscorner/detail/en/mex_20_1359</vt:lpwstr>
      </vt:variant>
      <vt:variant>
        <vt:lpwstr/>
      </vt:variant>
      <vt:variant>
        <vt:i4>7864425</vt:i4>
      </vt:variant>
      <vt:variant>
        <vt:i4>180</vt:i4>
      </vt:variant>
      <vt:variant>
        <vt:i4>0</vt:i4>
      </vt:variant>
      <vt:variant>
        <vt:i4>5</vt:i4>
      </vt:variant>
      <vt:variant>
        <vt:lpwstr>https://www.ombudsman.europa.eu/en/doc/annual-report/en/167855</vt:lpwstr>
      </vt:variant>
      <vt:variant>
        <vt:lpwstr/>
      </vt:variant>
      <vt:variant>
        <vt:i4>7405676</vt:i4>
      </vt:variant>
      <vt:variant>
        <vt:i4>177</vt:i4>
      </vt:variant>
      <vt:variant>
        <vt:i4>0</vt:i4>
      </vt:variant>
      <vt:variant>
        <vt:i4>5</vt:i4>
      </vt:variant>
      <vt:variant>
        <vt:lpwstr>https://www.ombudsman.europa.eu/en/doc/annual-report/en/156017</vt:lpwstr>
      </vt:variant>
      <vt:variant>
        <vt:lpwstr/>
      </vt:variant>
      <vt:variant>
        <vt:i4>7536747</vt:i4>
      </vt:variant>
      <vt:variant>
        <vt:i4>174</vt:i4>
      </vt:variant>
      <vt:variant>
        <vt:i4>0</vt:i4>
      </vt:variant>
      <vt:variant>
        <vt:i4>5</vt:i4>
      </vt:variant>
      <vt:variant>
        <vt:lpwstr>https://www.ombudsman.europa.eu/en/doc/annual-report/en/141317</vt:lpwstr>
      </vt:variant>
      <vt:variant>
        <vt:lpwstr/>
      </vt:variant>
      <vt:variant>
        <vt:i4>917579</vt:i4>
      </vt:variant>
      <vt:variant>
        <vt:i4>171</vt:i4>
      </vt:variant>
      <vt:variant>
        <vt:i4>0</vt:i4>
      </vt:variant>
      <vt:variant>
        <vt:i4>5</vt:i4>
      </vt:variant>
      <vt:variant>
        <vt:lpwstr>https://oeil.secure.europarl.europa.eu/oeil/popups/ficheprocedure.do?lang=en&amp;reference=2022/2024(INI)</vt:lpwstr>
      </vt:variant>
      <vt:variant>
        <vt:lpwstr/>
      </vt:variant>
      <vt:variant>
        <vt:i4>6684745</vt:i4>
      </vt:variant>
      <vt:variant>
        <vt:i4>168</vt:i4>
      </vt:variant>
      <vt:variant>
        <vt:i4>0</vt:i4>
      </vt:variant>
      <vt:variant>
        <vt:i4>5</vt:i4>
      </vt:variant>
      <vt:variant>
        <vt:lpwstr>https://www.europarl.europa.eu/doceo/document/PETI-PR-749894_EN.pdf</vt:lpwstr>
      </vt:variant>
      <vt:variant>
        <vt:lpwstr/>
      </vt:variant>
      <vt:variant>
        <vt:i4>1703970</vt:i4>
      </vt:variant>
      <vt:variant>
        <vt:i4>165</vt:i4>
      </vt:variant>
      <vt:variant>
        <vt:i4>0</vt:i4>
      </vt:variant>
      <vt:variant>
        <vt:i4>5</vt:i4>
      </vt:variant>
      <vt:variant>
        <vt:lpwstr>http://data.europa.eu/eli/dec_impl/2022/2452/oj</vt:lpwstr>
      </vt:variant>
      <vt:variant>
        <vt:lpwstr/>
      </vt:variant>
      <vt:variant>
        <vt:i4>4784149</vt:i4>
      </vt:variant>
      <vt:variant>
        <vt:i4>162</vt:i4>
      </vt:variant>
      <vt:variant>
        <vt:i4>0</vt:i4>
      </vt:variant>
      <vt:variant>
        <vt:i4>5</vt:i4>
      </vt:variant>
      <vt:variant>
        <vt:lpwstr>http://data.europa.eu/eli/dir/2019/997/oj</vt:lpwstr>
      </vt:variant>
      <vt:variant>
        <vt:lpwstr/>
      </vt:variant>
      <vt:variant>
        <vt:i4>1114134</vt:i4>
      </vt:variant>
      <vt:variant>
        <vt:i4>159</vt:i4>
      </vt:variant>
      <vt:variant>
        <vt:i4>0</vt:i4>
      </vt:variant>
      <vt:variant>
        <vt:i4>5</vt:i4>
      </vt:variant>
      <vt:variant>
        <vt:lpwstr>https://curia.europa.eu/juris/document/document.jsf?text=&amp;docid=260522&amp;pageIndex=0&amp;doclang=EN&amp;mode=req&amp;dir=&amp;occ=first&amp;part=1&amp;cid=2204278</vt:lpwstr>
      </vt:variant>
      <vt:variant>
        <vt:lpwstr/>
      </vt:variant>
      <vt:variant>
        <vt:i4>4653090</vt:i4>
      </vt:variant>
      <vt:variant>
        <vt:i4>156</vt:i4>
      </vt:variant>
      <vt:variant>
        <vt:i4>0</vt:i4>
      </vt:variant>
      <vt:variant>
        <vt:i4>5</vt:i4>
      </vt:variant>
      <vt:variant>
        <vt:lpwstr>https://citizens.ec.europa.eu/index_en</vt:lpwstr>
      </vt:variant>
      <vt:variant>
        <vt:lpwstr/>
      </vt:variant>
      <vt:variant>
        <vt:i4>4522038</vt:i4>
      </vt:variant>
      <vt:variant>
        <vt:i4>153</vt:i4>
      </vt:variant>
      <vt:variant>
        <vt:i4>0</vt:i4>
      </vt:variant>
      <vt:variant>
        <vt:i4>5</vt:i4>
      </vt:variant>
      <vt:variant>
        <vt:lpwstr>https://ec.europa.eu/info/law/better-regulation/have-your-say/initiatives/13730-Defending-European-democracy-Communication_en</vt:lpwstr>
      </vt:variant>
      <vt:variant>
        <vt:lpwstr/>
      </vt:variant>
      <vt:variant>
        <vt:i4>4915225</vt:i4>
      </vt:variant>
      <vt:variant>
        <vt:i4>150</vt:i4>
      </vt:variant>
      <vt:variant>
        <vt:i4>0</vt:i4>
      </vt:variant>
      <vt:variant>
        <vt:i4>5</vt:i4>
      </vt:variant>
      <vt:variant>
        <vt:lpwstr>https://roadtoep2024.eu/</vt:lpwstr>
      </vt:variant>
      <vt:variant>
        <vt:lpwstr/>
      </vt:variant>
      <vt:variant>
        <vt:i4>6815857</vt:i4>
      </vt:variant>
      <vt:variant>
        <vt:i4>147</vt:i4>
      </vt:variant>
      <vt:variant>
        <vt:i4>0</vt:i4>
      </vt:variant>
      <vt:variant>
        <vt:i4>5</vt:i4>
      </vt:variant>
      <vt:variant>
        <vt:lpwstr>https://elections.europa.eu/en/</vt:lpwstr>
      </vt:variant>
      <vt:variant>
        <vt:lpwstr/>
      </vt:variant>
      <vt:variant>
        <vt:i4>2883620</vt:i4>
      </vt:variant>
      <vt:variant>
        <vt:i4>144</vt:i4>
      </vt:variant>
      <vt:variant>
        <vt:i4>0</vt:i4>
      </vt:variant>
      <vt:variant>
        <vt:i4>5</vt:i4>
      </vt:variant>
      <vt:variant>
        <vt:lpwstr>https://curia.europa.eu/juris/document/document.jsf?text=&amp;docid=251201&amp;pageIndex=0&amp;doclang=EN&amp;mode=req&amp;dir=&amp;occ=first&amp;part=1&amp;cid=105061</vt:lpwstr>
      </vt:variant>
      <vt:variant>
        <vt:lpwstr/>
      </vt:variant>
      <vt:variant>
        <vt:i4>8126563</vt:i4>
      </vt:variant>
      <vt:variant>
        <vt:i4>141</vt:i4>
      </vt:variant>
      <vt:variant>
        <vt:i4>0</vt:i4>
      </vt:variant>
      <vt:variant>
        <vt:i4>5</vt:i4>
      </vt:variant>
      <vt:variant>
        <vt:lpwstr>https://ec.europa.eu/commission/presscorner/detail/en/IP_23_3043</vt:lpwstr>
      </vt:variant>
      <vt:variant>
        <vt:lpwstr/>
      </vt:variant>
      <vt:variant>
        <vt:i4>524299</vt:i4>
      </vt:variant>
      <vt:variant>
        <vt:i4>138</vt:i4>
      </vt:variant>
      <vt:variant>
        <vt:i4>0</vt:i4>
      </vt:variant>
      <vt:variant>
        <vt:i4>5</vt:i4>
      </vt:variant>
      <vt:variant>
        <vt:lpwstr>https://www.who.int/news/item/05-05-2023-statement-on-the-fifteenth-meeting-of-the-international-health-regulations-(2005)-emergency-committee-regarding-the-coronavirus-disease-(covid-19)-pandemic</vt:lpwstr>
      </vt:variant>
      <vt:variant>
        <vt:lpwstr/>
      </vt:variant>
      <vt:variant>
        <vt:i4>3604595</vt:i4>
      </vt:variant>
      <vt:variant>
        <vt:i4>135</vt:i4>
      </vt:variant>
      <vt:variant>
        <vt:i4>0</vt:i4>
      </vt:variant>
      <vt:variant>
        <vt:i4>5</vt:i4>
      </vt:variant>
      <vt:variant>
        <vt:lpwstr>https://www.ombudsman.europa.eu/en/press-release/en/171613</vt:lpwstr>
      </vt:variant>
      <vt:variant>
        <vt:lpwstr/>
      </vt:variant>
      <vt:variant>
        <vt:i4>1638480</vt:i4>
      </vt:variant>
      <vt:variant>
        <vt:i4>132</vt:i4>
      </vt:variant>
      <vt:variant>
        <vt:i4>0</vt:i4>
      </vt:variant>
      <vt:variant>
        <vt:i4>5</vt:i4>
      </vt:variant>
      <vt:variant>
        <vt:lpwstr>https://europa.eu/youreurope/advice/</vt:lpwstr>
      </vt:variant>
      <vt:variant>
        <vt:lpwstr/>
      </vt:variant>
      <vt:variant>
        <vt:i4>7536726</vt:i4>
      </vt:variant>
      <vt:variant>
        <vt:i4>129</vt:i4>
      </vt:variant>
      <vt:variant>
        <vt:i4>0</vt:i4>
      </vt:variant>
      <vt:variant>
        <vt:i4>5</vt:i4>
      </vt:variant>
      <vt:variant>
        <vt:lpwstr>https://ec.europa.eu/eurostat/databrowser/view/migr_imm5prv/default/table?lang=en</vt:lpwstr>
      </vt:variant>
      <vt:variant>
        <vt:lpwstr/>
      </vt:variant>
      <vt:variant>
        <vt:i4>7536717</vt:i4>
      </vt:variant>
      <vt:variant>
        <vt:i4>126</vt:i4>
      </vt:variant>
      <vt:variant>
        <vt:i4>0</vt:i4>
      </vt:variant>
      <vt:variant>
        <vt:i4>5</vt:i4>
      </vt:variant>
      <vt:variant>
        <vt:lpwstr>https://ec.europa.eu/eurostat/databrowser/view/migr_pop1ctz/default/table?lang=en</vt:lpwstr>
      </vt:variant>
      <vt:variant>
        <vt:lpwstr/>
      </vt:variant>
      <vt:variant>
        <vt:i4>9</vt:i4>
      </vt:variant>
      <vt:variant>
        <vt:i4>123</vt:i4>
      </vt:variant>
      <vt:variant>
        <vt:i4>0</vt:i4>
      </vt:variant>
      <vt:variant>
        <vt:i4>5</vt:i4>
      </vt:variant>
      <vt:variant>
        <vt:lpwstr>https://curia.europa.eu/juris/document/document.jsf?text=&amp;docid=269149&amp;pageIndex=0&amp;doclang=en&amp;mode=lst&amp;dir=&amp;occ=first&amp;part=1&amp;cid=1432718</vt:lpwstr>
      </vt:variant>
      <vt:variant>
        <vt:lpwstr/>
      </vt:variant>
      <vt:variant>
        <vt:i4>393231</vt:i4>
      </vt:variant>
      <vt:variant>
        <vt:i4>120</vt:i4>
      </vt:variant>
      <vt:variant>
        <vt:i4>0</vt:i4>
      </vt:variant>
      <vt:variant>
        <vt:i4>5</vt:i4>
      </vt:variant>
      <vt:variant>
        <vt:lpwstr>https://curia.europa.eu/juris/document/document.jsf?text=&amp;docid=260182&amp;pageIndex=0&amp;doclang=en&amp;mode=lst&amp;dir=&amp;occ=first&amp;part=1&amp;cid=1425556</vt:lpwstr>
      </vt:variant>
      <vt:variant>
        <vt:lpwstr/>
      </vt:variant>
      <vt:variant>
        <vt:i4>1966086</vt:i4>
      </vt:variant>
      <vt:variant>
        <vt:i4>117</vt:i4>
      </vt:variant>
      <vt:variant>
        <vt:i4>0</vt:i4>
      </vt:variant>
      <vt:variant>
        <vt:i4>5</vt:i4>
      </vt:variant>
      <vt:variant>
        <vt:lpwstr>https://curia.europa.eu/jcms/upload/docs/application/pdf/2022-10/cp220167en.pdf</vt:lpwstr>
      </vt:variant>
      <vt:variant>
        <vt:lpwstr>:~:text=Judgment%20of%20the%20Court%20of%20Justice%20in%20Case,all%20workers%20in%20a%20general%20and%20undifferentiated%20way</vt:lpwstr>
      </vt:variant>
      <vt:variant>
        <vt:i4>1966103</vt:i4>
      </vt:variant>
      <vt:variant>
        <vt:i4>114</vt:i4>
      </vt:variant>
      <vt:variant>
        <vt:i4>0</vt:i4>
      </vt:variant>
      <vt:variant>
        <vt:i4>5</vt:i4>
      </vt:variant>
      <vt:variant>
        <vt:lpwstr>https://curia.europa.eu/juris/document/document.jsf?text=&amp;docid=267126&amp;pageIndex=0&amp;doclang=en&amp;mode=req&amp;dir=&amp;occ=first&amp;part=1&amp;cid=1456655</vt:lpwstr>
      </vt:variant>
      <vt:variant>
        <vt:lpwstr/>
      </vt:variant>
      <vt:variant>
        <vt:i4>3211375</vt:i4>
      </vt:variant>
      <vt:variant>
        <vt:i4>111</vt:i4>
      </vt:variant>
      <vt:variant>
        <vt:i4>0</vt:i4>
      </vt:variant>
      <vt:variant>
        <vt:i4>5</vt:i4>
      </vt:variant>
      <vt:variant>
        <vt:lpwstr>https://www.consilium.europa.eu/en/press/press-releases/2022/03/04/council-adopts-conclusions-on-combating-racism-and-antisemitism/</vt:lpwstr>
      </vt:variant>
      <vt:variant>
        <vt:lpwstr/>
      </vt:variant>
      <vt:variant>
        <vt:i4>7208983</vt:i4>
      </vt:variant>
      <vt:variant>
        <vt:i4>108</vt:i4>
      </vt:variant>
      <vt:variant>
        <vt:i4>0</vt:i4>
      </vt:variant>
      <vt:variant>
        <vt:i4>5</vt:i4>
      </vt:variant>
      <vt:variant>
        <vt:lpwstr>https://commission.europa.eu/strategy-and-policy/policies/justice-and-fundamental-rights/combatting-discrimination/racism-and-xenophobia/combating-antisemitism/eu-strategy-combating-antisemitism-and-fostering-jewish-life-2021-2030/about-eu-strategy_en</vt:lpwstr>
      </vt:variant>
      <vt:variant>
        <vt:lpwstr/>
      </vt:variant>
      <vt:variant>
        <vt:i4>2359422</vt:i4>
      </vt:variant>
      <vt:variant>
        <vt:i4>102</vt:i4>
      </vt:variant>
      <vt:variant>
        <vt:i4>0</vt:i4>
      </vt:variant>
      <vt:variant>
        <vt:i4>5</vt:i4>
      </vt:variant>
      <vt:variant>
        <vt:lpwstr>https://ec.europa.eu/european-social-fund-plus/en/news/esf-promotes-roma-inclusion</vt:lpwstr>
      </vt:variant>
      <vt:variant>
        <vt:lpwstr/>
      </vt:variant>
      <vt:variant>
        <vt:i4>3407923</vt:i4>
      </vt:variant>
      <vt:variant>
        <vt:i4>99</vt:i4>
      </vt:variant>
      <vt:variant>
        <vt:i4>0</vt:i4>
      </vt:variant>
      <vt:variant>
        <vt:i4>5</vt:i4>
      </vt:variant>
      <vt:variant>
        <vt:lpwstr>https://eudiversity2023.eu/</vt:lpwstr>
      </vt:variant>
      <vt:variant>
        <vt:lpwstr/>
      </vt:variant>
      <vt:variant>
        <vt:i4>2490445</vt:i4>
      </vt:variant>
      <vt:variant>
        <vt:i4>96</vt:i4>
      </vt:variant>
      <vt:variant>
        <vt:i4>0</vt:i4>
      </vt:variant>
      <vt:variant>
        <vt:i4>5</vt:i4>
      </vt:variant>
      <vt:variant>
        <vt:lpwstr>https://commission.europa.eu/system/files/2022-05/common_guiding_principles_for_national_action_plans_against_racism_and_racial_discrimination.pdf</vt:lpwstr>
      </vt:variant>
      <vt:variant>
        <vt:lpwstr/>
      </vt:variant>
      <vt:variant>
        <vt:i4>8192020</vt:i4>
      </vt:variant>
      <vt:variant>
        <vt:i4>93</vt:i4>
      </vt:variant>
      <vt:variant>
        <vt:i4>0</vt:i4>
      </vt:variant>
      <vt:variant>
        <vt:i4>5</vt:i4>
      </vt:variant>
      <vt:variant>
        <vt:lpwstr>https://commission.europa.eu/strategy-and-policy/policies/justice-and-fundamental-rights/combatting-discrimination/racism-and-xenophobia/eu-anti-racism-action-plan-2020-2025_en</vt:lpwstr>
      </vt:variant>
      <vt:variant>
        <vt:lpwstr/>
      </vt:variant>
      <vt:variant>
        <vt:i4>2293779</vt:i4>
      </vt:variant>
      <vt:variant>
        <vt:i4>90</vt:i4>
      </vt:variant>
      <vt:variant>
        <vt:i4>0</vt:i4>
      </vt:variant>
      <vt:variant>
        <vt:i4>5</vt:i4>
      </vt:variant>
      <vt:variant>
        <vt:lpwstr>https://ec.europa.eu/info/law/better-regulation/have-your-say/initiatives/13517-European-disability-card_en</vt:lpwstr>
      </vt:variant>
      <vt:variant>
        <vt:lpwstr/>
      </vt:variant>
      <vt:variant>
        <vt:i4>6226007</vt:i4>
      </vt:variant>
      <vt:variant>
        <vt:i4>87</vt:i4>
      </vt:variant>
      <vt:variant>
        <vt:i4>0</vt:i4>
      </vt:variant>
      <vt:variant>
        <vt:i4>5</vt:i4>
      </vt:variant>
      <vt:variant>
        <vt:lpwstr>https://ec.europa.eu/social/main.jsp?catId=1597&amp;langId=en</vt:lpwstr>
      </vt:variant>
      <vt:variant>
        <vt:lpwstr/>
      </vt:variant>
      <vt:variant>
        <vt:i4>7536738</vt:i4>
      </vt:variant>
      <vt:variant>
        <vt:i4>84</vt:i4>
      </vt:variant>
      <vt:variant>
        <vt:i4>0</vt:i4>
      </vt:variant>
      <vt:variant>
        <vt:i4>5</vt:i4>
      </vt:variant>
      <vt:variant>
        <vt:lpwstr>https://ec.europa.eu/commission/presscorner/detail/en/ip_22_7509</vt:lpwstr>
      </vt:variant>
      <vt:variant>
        <vt:lpwstr/>
      </vt:variant>
      <vt:variant>
        <vt:i4>6553710</vt:i4>
      </vt:variant>
      <vt:variant>
        <vt:i4>81</vt:i4>
      </vt:variant>
      <vt:variant>
        <vt:i4>0</vt:i4>
      </vt:variant>
      <vt:variant>
        <vt:i4>5</vt:i4>
      </vt:variant>
      <vt:variant>
        <vt:lpwstr>https://eu-for-children.europa.eu/</vt:lpwstr>
      </vt:variant>
      <vt:variant>
        <vt:lpwstr/>
      </vt:variant>
      <vt:variant>
        <vt:i4>917610</vt:i4>
      </vt:variant>
      <vt:variant>
        <vt:i4>78</vt:i4>
      </vt:variant>
      <vt:variant>
        <vt:i4>0</vt:i4>
      </vt:variant>
      <vt:variant>
        <vt:i4>5</vt:i4>
      </vt:variant>
      <vt:variant>
        <vt:lpwstr>https://commission.europa.eu/system/files/2023-04/annual_report_GE_2023_web_EN.pdf</vt:lpwstr>
      </vt:variant>
      <vt:variant>
        <vt:lpwstr/>
      </vt:variant>
      <vt:variant>
        <vt:i4>3014735</vt:i4>
      </vt:variant>
      <vt:variant>
        <vt:i4>72</vt:i4>
      </vt:variant>
      <vt:variant>
        <vt:i4>0</vt:i4>
      </vt:variant>
      <vt:variant>
        <vt:i4>5</vt:i4>
      </vt:variant>
      <vt:variant>
        <vt:lpwstr>https://commission.europa.eu/system/files/2022-09/guidelines_for_strategies_and_action_plans_to_enhance_lgbtiq_equality_2022final16_05.pdf</vt:lpwstr>
      </vt:variant>
      <vt:variant>
        <vt:lpwstr/>
      </vt:variant>
      <vt:variant>
        <vt:i4>4587545</vt:i4>
      </vt:variant>
      <vt:variant>
        <vt:i4>69</vt:i4>
      </vt:variant>
      <vt:variant>
        <vt:i4>0</vt:i4>
      </vt:variant>
      <vt:variant>
        <vt:i4>5</vt:i4>
      </vt:variant>
      <vt:variant>
        <vt:lpwstr>https://commission.europa.eu/system/files/2023-04/JUST_LGBTIQ Strategy_Progress Report_FINAL_WEB.pdf</vt:lpwstr>
      </vt:variant>
      <vt:variant>
        <vt:lpwstr/>
      </vt:variant>
      <vt:variant>
        <vt:i4>8192098</vt:i4>
      </vt:variant>
      <vt:variant>
        <vt:i4>66</vt:i4>
      </vt:variant>
      <vt:variant>
        <vt:i4>0</vt:i4>
      </vt:variant>
      <vt:variant>
        <vt:i4>5</vt:i4>
      </vt:variant>
      <vt:variant>
        <vt:lpwstr>https://ec.europa.eu/commission/presscorner/detail/en/ip_22_7507</vt:lpwstr>
      </vt:variant>
      <vt:variant>
        <vt:lpwstr/>
      </vt:variant>
      <vt:variant>
        <vt:i4>3604539</vt:i4>
      </vt:variant>
      <vt:variant>
        <vt:i4>63</vt:i4>
      </vt:variant>
      <vt:variant>
        <vt:i4>0</vt:i4>
      </vt:variant>
      <vt:variant>
        <vt:i4>5</vt:i4>
      </vt:variant>
      <vt:variant>
        <vt:lpwstr>https://curia.europa.eu/juris/document/document.jsf?text=%2522Non-discrimination%2Bon%2Bgrounds%2Bof%2Bnationality%2522&amp;docid=253726&amp;pageIndex=0&amp;doclang=EN&amp;mode=req&amp;dir=&amp;occ=first&amp;part=1&amp;cid=6048896</vt:lpwstr>
      </vt:variant>
      <vt:variant>
        <vt:lpwstr>ctx1</vt:lpwstr>
      </vt:variant>
      <vt:variant>
        <vt:i4>1114143</vt:i4>
      </vt:variant>
      <vt:variant>
        <vt:i4>60</vt:i4>
      </vt:variant>
      <vt:variant>
        <vt:i4>0</vt:i4>
      </vt:variant>
      <vt:variant>
        <vt:i4>5</vt:i4>
      </vt:variant>
      <vt:variant>
        <vt:lpwstr>https://curia.europa.eu/juris/document/document.jsf?text=&amp;docid=235710&amp;pageIndex=0&amp;doclang=en&amp;mode=req&amp;dir=&amp;occ=first&amp;part=1&amp;cid=4498424</vt:lpwstr>
      </vt:variant>
      <vt:variant>
        <vt:lpwstr/>
      </vt:variant>
      <vt:variant>
        <vt:i4>131081</vt:i4>
      </vt:variant>
      <vt:variant>
        <vt:i4>57</vt:i4>
      </vt:variant>
      <vt:variant>
        <vt:i4>0</vt:i4>
      </vt:variant>
      <vt:variant>
        <vt:i4>5</vt:i4>
      </vt:variant>
      <vt:variant>
        <vt:lpwstr>https://curia.europa.eu/juris/document/document.jsf?text=&amp;docid=268789&amp;pageIndex=0&amp;doclang=EN&amp;mode=lst&amp;dir=&amp;occ=first&amp;part=1&amp;cid=4499276</vt:lpwstr>
      </vt:variant>
      <vt:variant>
        <vt:lpwstr/>
      </vt:variant>
      <vt:variant>
        <vt:i4>458778</vt:i4>
      </vt:variant>
      <vt:variant>
        <vt:i4>54</vt:i4>
      </vt:variant>
      <vt:variant>
        <vt:i4>0</vt:i4>
      </vt:variant>
      <vt:variant>
        <vt:i4>5</vt:i4>
      </vt:variant>
      <vt:variant>
        <vt:lpwstr>https://eur-lex.europa.eu/legal-content/en/TXT/?uri=CELEX:62021CJ0502</vt:lpwstr>
      </vt:variant>
      <vt:variant>
        <vt:lpwstr/>
      </vt:variant>
      <vt:variant>
        <vt:i4>589833</vt:i4>
      </vt:variant>
      <vt:variant>
        <vt:i4>51</vt:i4>
      </vt:variant>
      <vt:variant>
        <vt:i4>0</vt:i4>
      </vt:variant>
      <vt:variant>
        <vt:i4>5</vt:i4>
      </vt:variant>
      <vt:variant>
        <vt:lpwstr>https://curia.europa.eu/juris/document/document.jsf?text=&amp;docid=274642&amp;pageIndex=0&amp;doclang=en&amp;mode=lst&amp;dir=&amp;occ=first&amp;part=1&amp;cid=2183586</vt:lpwstr>
      </vt:variant>
      <vt:variant>
        <vt:lpwstr/>
      </vt:variant>
      <vt:variant>
        <vt:i4>917510</vt:i4>
      </vt:variant>
      <vt:variant>
        <vt:i4>48</vt:i4>
      </vt:variant>
      <vt:variant>
        <vt:i4>0</vt:i4>
      </vt:variant>
      <vt:variant>
        <vt:i4>5</vt:i4>
      </vt:variant>
      <vt:variant>
        <vt:lpwstr>https://curia.europa.eu/juris/document/document.jsf?text=&amp;docid=274657&amp;pageIndex=0&amp;doclang=en&amp;mode=lst&amp;dir=&amp;occ=first&amp;part=1&amp;cid=2182776</vt:lpwstr>
      </vt:variant>
      <vt:variant>
        <vt:lpwstr/>
      </vt:variant>
      <vt:variant>
        <vt:i4>7929954</vt:i4>
      </vt:variant>
      <vt:variant>
        <vt:i4>45</vt:i4>
      </vt:variant>
      <vt:variant>
        <vt:i4>0</vt:i4>
      </vt:variant>
      <vt:variant>
        <vt:i4>5</vt:i4>
      </vt:variant>
      <vt:variant>
        <vt:lpwstr>https://ec.europa.eu/commission/presscorner/detail/EN/IP_22_5422</vt:lpwstr>
      </vt:variant>
      <vt:variant>
        <vt:lpwstr/>
      </vt:variant>
      <vt:variant>
        <vt:i4>7536740</vt:i4>
      </vt:variant>
      <vt:variant>
        <vt:i4>39</vt:i4>
      </vt:variant>
      <vt:variant>
        <vt:i4>0</vt:i4>
      </vt:variant>
      <vt:variant>
        <vt:i4>5</vt:i4>
      </vt:variant>
      <vt:variant>
        <vt:lpwstr>https://ec.europa.eu/commission/presscorner/detail/en/ip_20_1925</vt:lpwstr>
      </vt:variant>
      <vt:variant>
        <vt:lpwstr/>
      </vt:variant>
      <vt:variant>
        <vt:i4>655375</vt:i4>
      </vt:variant>
      <vt:variant>
        <vt:i4>36</vt:i4>
      </vt:variant>
      <vt:variant>
        <vt:i4>0</vt:i4>
      </vt:variant>
      <vt:variant>
        <vt:i4>5</vt:i4>
      </vt:variant>
      <vt:variant>
        <vt:lpwstr>https://digital-strategy.ec.europa.eu/en/library/2023-report-state-digital-decade</vt:lpwstr>
      </vt:variant>
      <vt:variant>
        <vt:lpwstr/>
      </vt:variant>
      <vt:variant>
        <vt:i4>6553640</vt:i4>
      </vt:variant>
      <vt:variant>
        <vt:i4>33</vt:i4>
      </vt:variant>
      <vt:variant>
        <vt:i4>0</vt:i4>
      </vt:variant>
      <vt:variant>
        <vt:i4>5</vt:i4>
      </vt:variant>
      <vt:variant>
        <vt:lpwstr>https://digital-strategy.ec.europa.eu/en/library/european-declaration-digital-rights-and-principles</vt:lpwstr>
      </vt:variant>
      <vt:variant>
        <vt:lpwstr/>
      </vt:variant>
      <vt:variant>
        <vt:i4>4849745</vt:i4>
      </vt:variant>
      <vt:variant>
        <vt:i4>30</vt:i4>
      </vt:variant>
      <vt:variant>
        <vt:i4>0</vt:i4>
      </vt:variant>
      <vt:variant>
        <vt:i4>5</vt:i4>
      </vt:variant>
      <vt:variant>
        <vt:lpwstr>https://ec.europa.eu/commission/presscorner/detail/en/IP_22_452</vt:lpwstr>
      </vt:variant>
      <vt:variant>
        <vt:lpwstr/>
      </vt:variant>
      <vt:variant>
        <vt:i4>7929941</vt:i4>
      </vt:variant>
      <vt:variant>
        <vt:i4>27</vt:i4>
      </vt:variant>
      <vt:variant>
        <vt:i4>0</vt:i4>
      </vt:variant>
      <vt:variant>
        <vt:i4>5</vt:i4>
      </vt:variant>
      <vt:variant>
        <vt:lpwstr>https://citizens-initiative.europa.eu/schools/eci-educational-toolkit_en</vt:lpwstr>
      </vt:variant>
      <vt:variant>
        <vt:lpwstr/>
      </vt:variant>
      <vt:variant>
        <vt:i4>1245188</vt:i4>
      </vt:variant>
      <vt:variant>
        <vt:i4>24</vt:i4>
      </vt:variant>
      <vt:variant>
        <vt:i4>0</vt:i4>
      </vt:variant>
      <vt:variant>
        <vt:i4>5</vt:i4>
      </vt:variant>
      <vt:variant>
        <vt:lpwstr>https://www.europarl.europa.eu/resources/library/media/20220509RES29121/20220509RES29121.pdf</vt:lpwstr>
      </vt:variant>
      <vt:variant>
        <vt:lpwstr/>
      </vt:variant>
      <vt:variant>
        <vt:i4>4063326</vt:i4>
      </vt:variant>
      <vt:variant>
        <vt:i4>21</vt:i4>
      </vt:variant>
      <vt:variant>
        <vt:i4>0</vt:i4>
      </vt:variant>
      <vt:variant>
        <vt:i4>5</vt:i4>
      </vt:variant>
      <vt:variant>
        <vt:lpwstr>https://europa.eu/european-union/contact_en</vt:lpwstr>
      </vt:variant>
      <vt:variant>
        <vt:lpwstr/>
      </vt:variant>
      <vt:variant>
        <vt:i4>262149</vt:i4>
      </vt:variant>
      <vt:variant>
        <vt:i4>18</vt:i4>
      </vt:variant>
      <vt:variant>
        <vt:i4>0</vt:i4>
      </vt:variant>
      <vt:variant>
        <vt:i4>5</vt:i4>
      </vt:variant>
      <vt:variant>
        <vt:lpwstr>https://www.europarl.europa.eu/at-your-service/files/be-heard/eurobarometer/2023/eu-citizens-in-uk-2023-report-en.pdf</vt:lpwstr>
      </vt:variant>
      <vt:variant>
        <vt:lpwstr/>
      </vt:variant>
      <vt:variant>
        <vt:i4>196626</vt:i4>
      </vt:variant>
      <vt:variant>
        <vt:i4>15</vt:i4>
      </vt:variant>
      <vt:variant>
        <vt:i4>0</vt:i4>
      </vt:variant>
      <vt:variant>
        <vt:i4>5</vt:i4>
      </vt:variant>
      <vt:variant>
        <vt:lpwstr>https://eur-lex.europa.eu/legal-content/EN/TXT/?uri=CELEX:52022DC0437</vt:lpwstr>
      </vt:variant>
      <vt:variant>
        <vt:lpwstr/>
      </vt:variant>
      <vt:variant>
        <vt:i4>4849695</vt:i4>
      </vt:variant>
      <vt:variant>
        <vt:i4>12</vt:i4>
      </vt:variant>
      <vt:variant>
        <vt:i4>0</vt:i4>
      </vt:variant>
      <vt:variant>
        <vt:i4>5</vt:i4>
      </vt:variant>
      <vt:variant>
        <vt:lpwstr>http://data.europa.eu/eli/dir/2015/637/oj</vt:lpwstr>
      </vt:variant>
      <vt:variant>
        <vt:lpwstr/>
      </vt:variant>
      <vt:variant>
        <vt:i4>5439506</vt:i4>
      </vt:variant>
      <vt:variant>
        <vt:i4>9</vt:i4>
      </vt:variant>
      <vt:variant>
        <vt:i4>0</vt:i4>
      </vt:variant>
      <vt:variant>
        <vt:i4>5</vt:i4>
      </vt:variant>
      <vt:variant>
        <vt:lpwstr>https://commission.europa.eu/system/files/2020-04/political-guidelines-next-commission_en_0.pdf</vt:lpwstr>
      </vt:variant>
      <vt:variant>
        <vt:lpwstr/>
      </vt:variant>
      <vt:variant>
        <vt:i4>1376344</vt:i4>
      </vt:variant>
      <vt:variant>
        <vt:i4>6</vt:i4>
      </vt:variant>
      <vt:variant>
        <vt:i4>0</vt:i4>
      </vt:variant>
      <vt:variant>
        <vt:i4>5</vt:i4>
      </vt:variant>
      <vt:variant>
        <vt:lpwstr>https://eur-lex.europa.eu/legal-content/EN/TXT/PDF/?uri=CELEX:52020DC0731</vt:lpwstr>
      </vt:variant>
      <vt:variant>
        <vt:lpwstr/>
      </vt:variant>
      <vt:variant>
        <vt:i4>6619248</vt:i4>
      </vt:variant>
      <vt:variant>
        <vt:i4>3</vt:i4>
      </vt:variant>
      <vt:variant>
        <vt:i4>0</vt:i4>
      </vt:variant>
      <vt:variant>
        <vt:i4>5</vt:i4>
      </vt:variant>
      <vt:variant>
        <vt:lpwstr>https://eur-lex.europa.eu/legal-content/EN/TXT/PDF/?uri=CELEX:52020DC0730&amp;qid=1682429814881</vt:lpwstr>
      </vt:variant>
      <vt:variant>
        <vt:lpwstr/>
      </vt:variant>
      <vt:variant>
        <vt:i4>5177393</vt:i4>
      </vt:variant>
      <vt:variant>
        <vt:i4>0</vt:i4>
      </vt:variant>
      <vt:variant>
        <vt:i4>0</vt:i4>
      </vt:variant>
      <vt:variant>
        <vt:i4>5</vt:i4>
      </vt:variant>
      <vt:variant>
        <vt:lpwstr>https://ec.europa.eu/info/law/better-regulation/have-your-say/initiatives/13699-EU-Citizenship-Report-2023_en</vt:lpwstr>
      </vt:variant>
      <vt:variant>
        <vt:lpwstr/>
      </vt:variant>
      <vt:variant>
        <vt:i4>6553621</vt:i4>
      </vt:variant>
      <vt:variant>
        <vt:i4>0</vt:i4>
      </vt:variant>
      <vt:variant>
        <vt:i4>0</vt:i4>
      </vt:variant>
      <vt:variant>
        <vt:i4>5</vt:i4>
      </vt:variant>
      <vt:variant>
        <vt:lpwstr>mailto:Cristian-Alexandru.LEAHU@ec.europa.eu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2023-12-05T08:21:00Z</dcterms:created>
  <dcterms:modified xsi:type="dcterms:W3CDTF">2023-12-05T15:07:00Z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ast edited using">
    <vt:lpwstr>LW 9.0, Build 20230317</vt:lpwstr>
  </property>
  <property fmtid="{D5CDD505-2E9C-101B-9397-08002B2CF9AE}" pid="4" name="MSIP_Label_6bd9ddd1-4d20-43f6-abfa-fc3c07406f94_Enabled">
    <vt:lpwstr>true</vt:lpwstr>
  </property>
  <property fmtid="{D5CDD505-2E9C-101B-9397-08002B2CF9AE}" pid="5" name="MSIP_Label_6bd9ddd1-4d20-43f6-abfa-fc3c07406f94_SetDate">
    <vt:lpwstr>2023-11-27T11:43:20Z</vt:lpwstr>
  </property>
  <property fmtid="{D5CDD505-2E9C-101B-9397-08002B2CF9AE}" pid="6" name="MSIP_Label_6bd9ddd1-4d20-43f6-abfa-fc3c07406f94_Method">
    <vt:lpwstr>Standard</vt:lpwstr>
  </property>
  <property fmtid="{D5CDD505-2E9C-101B-9397-08002B2CF9AE}" pid="7" name="MSIP_Label_6bd9ddd1-4d20-43f6-abfa-fc3c07406f94_Name">
    <vt:lpwstr>Commission Use</vt:lpwstr>
  </property>
  <property fmtid="{D5CDD505-2E9C-101B-9397-08002B2CF9AE}" pid="8" name="MSIP_Label_6bd9ddd1-4d20-43f6-abfa-fc3c07406f94_SiteId">
    <vt:lpwstr>b24c8b06-522c-46fe-9080-70926f8dddb1</vt:lpwstr>
  </property>
  <property fmtid="{D5CDD505-2E9C-101B-9397-08002B2CF9AE}" pid="9" name="MSIP_Label_6bd9ddd1-4d20-43f6-abfa-fc3c07406f94_ActionId">
    <vt:lpwstr>1bcb9ead-268e-4c87-9174-56d8b5c5dfa7</vt:lpwstr>
  </property>
  <property fmtid="{D5CDD505-2E9C-101B-9397-08002B2CF9AE}" pid="10" name="MSIP_Label_6bd9ddd1-4d20-43f6-abfa-fc3c07406f94_ContentBits">
    <vt:lpwstr>0</vt:lpwstr>
  </property>
  <property fmtid="{D5CDD505-2E9C-101B-9397-08002B2CF9AE}" pid="11" name="Level of sensitivity">
    <vt:lpwstr>Standard treatment</vt:lpwstr>
  </property>
  <property fmtid="{D5CDD505-2E9C-101B-9397-08002B2CF9AE}" pid="12" name="Part">
    <vt:lpwstr>1</vt:lpwstr>
  </property>
  <property fmtid="{D5CDD505-2E9C-101B-9397-08002B2CF9AE}" pid="13" name="Total parts">
    <vt:lpwstr>1</vt:lpwstr>
  </property>
  <property fmtid="{D5CDD505-2E9C-101B-9397-08002B2CF9AE}" pid="14" name="CPTemplateID">
    <vt:lpwstr>CP-008</vt:lpwstr>
  </property>
</Properties>
</file>